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MutL induced endonuclease activity in Cyanobacteria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Cyanobacteria are an ancient photosynthetic class of eubacteria with cosmopolitan distribution [1] . They are major producers of the Earth’s atmospheric oxygen and among the oldest organisms on the planet, having existed for more than 3 billion years. Cyanobacteria  colonize a wide range of ecosystems, due to their ability to acclimate to a extreme environments.  Cyanobacteria can be found in solid, air, dry rock, and aquatic systems, due to their ability to survive various adverse physiological growth conditions like desiccation, high temperatures, extreme pH, cold, osmosis, salt, light, nitrogen, and high salinity.  Due to their age and robustness they serve the as the ideal candidates for investigating biological processes such as photosynthesis, respiration, photoregulation of gene expression, developmental gene rearrangements, and much more [2].</w:t>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Cyanobacteria are known for their ability to perform as microbial factories that use the Earth's most ample natural resources; CO2, sunlight, and water for the production of chemicals. However, genetic instability, in cyanobacteria engineered for biotechnological purposes, occurs when using DNA recombination to repressess/regulate the expression of  the recently popularized genes of industrial interest [3]. Therefore, a more exhaustive understanding of DNA recombination and repair in cyanobacteria could help increasing their robustness and the genetic stability of the engineered strains[3].</w:t>
      </w:r>
    </w:p>
    <w:p w:rsidR="00000000" w:rsidDel="00000000" w:rsidP="00000000" w:rsidRDefault="00000000" w:rsidRPr="00000000" w14:paraId="0000000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Repetitive sequences are prevalent features of genomes throughout the bacterial kingdom, and vary in factors such as mobility, length frequency, and spatial organization. </w:t>
      </w:r>
    </w:p>
    <w:p w:rsidR="00000000" w:rsidDel="00000000" w:rsidP="00000000" w:rsidRDefault="00000000" w:rsidRPr="00000000" w14:paraId="00000006">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Commonly occurring sequences act as substrates for rearrangement of genomic regions, as well as deletion and duplication. They play an integral role in contributing to genome evolution and plasticity. High frequency sequences in bacteria can act as enforcers of genetic exchange, and   participate in the regulation of genes and gene products[4].</w:t>
      </w:r>
    </w:p>
    <w:p w:rsidR="00000000" w:rsidDel="00000000" w:rsidP="00000000" w:rsidRDefault="00000000" w:rsidRPr="00000000" w14:paraId="0000000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Highly Iterative Palindrome-1 (HIP1) is an octamer palindrome (GCGATCGC) that appears in high frequencies in, almost exclusively, cyanobacterial genomes. HIP1 frequency can reach as high as one per 350nt. This ratio of occurence, suggest that multiple HIP1 motifs are associated with every single gene, on average.  Such widespread over-abundance conserved over time suggests an important and functional role for HIP1 in the biology of cyanobacterial genomes. However, the molecular and functional roles of HIP1, if any, as well as the reasons  for  its high frequency, remain unclear[4] Understanding the role of HIP1’s functionality in Cyanobacteria may play a role in its biotechnological utility[4]. </w:t>
      </w:r>
    </w:p>
    <w:p w:rsidR="00000000" w:rsidDel="00000000" w:rsidP="00000000" w:rsidRDefault="00000000" w:rsidRPr="00000000" w14:paraId="0000000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living organisms possess a system for repair of non canonical nucleotide pairs or mismatches and small loops, named the methyl directed mismatch repair system. Failure of the MMR system at any stage can increase  mutation frequency, leading to the development of various types of tumours. Wyrzykowski [8] demonstrates MMR in E.coli is conducted  and dependent on the behavior of three proteins; MutH, MutS, MutL.  Unlike MutL and MutS, MutH, the protein responsible for marking mismatched DNA near hemimethylated G</w:t>
      </w:r>
      <w:r w:rsidDel="00000000" w:rsidR="00000000" w:rsidRPr="00000000">
        <w:rPr>
          <w:rFonts w:ascii="Times New Roman" w:cs="Times New Roman" w:eastAsia="Times New Roman" w:hAnsi="Times New Roman"/>
          <w:sz w:val="24"/>
          <w:szCs w:val="24"/>
          <w:vertAlign w:val="superscript"/>
          <w:rtl w:val="0"/>
        </w:rPr>
        <w:t xml:space="preserve">me</w:t>
      </w:r>
      <w:r w:rsidDel="00000000" w:rsidR="00000000" w:rsidRPr="00000000">
        <w:rPr>
          <w:rFonts w:ascii="Times New Roman" w:cs="Times New Roman" w:eastAsia="Times New Roman" w:hAnsi="Times New Roman"/>
          <w:sz w:val="24"/>
          <w:szCs w:val="24"/>
          <w:rtl w:val="0"/>
        </w:rPr>
        <w:t xml:space="preserve">ATC/GATC,  is not found in cyanobacteria.Thus, the process of identifying mismatched DNA by methylation in cyanobacteria is unclear, along with the roles of MutS and MutL. Elhai[6] proposed that for a phylogenetically distinct group of cyanobacteria, “MMR is directed by G</w:t>
      </w:r>
      <w:r w:rsidDel="00000000" w:rsidR="00000000" w:rsidRPr="00000000">
        <w:rPr>
          <w:rFonts w:ascii="Times New Roman" w:cs="Times New Roman" w:eastAsia="Times New Roman" w:hAnsi="Times New Roman"/>
          <w:sz w:val="24"/>
          <w:szCs w:val="24"/>
          <w:vertAlign w:val="superscript"/>
          <w:rtl w:val="0"/>
        </w:rPr>
        <w:t xml:space="preserve">me</w:t>
      </w:r>
      <w:r w:rsidDel="00000000" w:rsidR="00000000" w:rsidRPr="00000000">
        <w:rPr>
          <w:rFonts w:ascii="Times New Roman" w:cs="Times New Roman" w:eastAsia="Times New Roman" w:hAnsi="Times New Roman"/>
          <w:sz w:val="24"/>
          <w:szCs w:val="24"/>
          <w:rtl w:val="0"/>
        </w:rPr>
        <w:t xml:space="preserve">C, where the methylated cytosine is usually contributed by a CGATCG-MTase that methylates the first cytosine, ultimately leading to frequent HIP1 sites.” This experiment will provide laboratory evidence for the existence of a  G</w:t>
      </w:r>
      <w:r w:rsidDel="00000000" w:rsidR="00000000" w:rsidRPr="00000000">
        <w:rPr>
          <w:rFonts w:ascii="Times New Roman" w:cs="Times New Roman" w:eastAsia="Times New Roman" w:hAnsi="Times New Roman"/>
          <w:sz w:val="24"/>
          <w:szCs w:val="24"/>
          <w:vertAlign w:val="superscript"/>
          <w:rtl w:val="0"/>
        </w:rPr>
        <w:t xml:space="preserve">me</w:t>
      </w:r>
      <w:r w:rsidDel="00000000" w:rsidR="00000000" w:rsidRPr="00000000">
        <w:rPr>
          <w:rFonts w:ascii="Times New Roman" w:cs="Times New Roman" w:eastAsia="Times New Roman" w:hAnsi="Times New Roman"/>
          <w:sz w:val="24"/>
          <w:szCs w:val="24"/>
          <w:rtl w:val="0"/>
        </w:rPr>
        <w:t xml:space="preserve">C- specific MMR in cyanobacteria, by testing whether MutL has G</w:t>
      </w:r>
      <w:r w:rsidDel="00000000" w:rsidR="00000000" w:rsidRPr="00000000">
        <w:rPr>
          <w:rFonts w:ascii="Times New Roman" w:cs="Times New Roman" w:eastAsia="Times New Roman" w:hAnsi="Times New Roman"/>
          <w:sz w:val="24"/>
          <w:szCs w:val="24"/>
          <w:vertAlign w:val="superscript"/>
          <w:rtl w:val="0"/>
        </w:rPr>
        <w:t xml:space="preserve">me</w:t>
      </w:r>
      <w:r w:rsidDel="00000000" w:rsidR="00000000" w:rsidRPr="00000000">
        <w:rPr>
          <w:rFonts w:ascii="Times New Roman" w:cs="Times New Roman" w:eastAsia="Times New Roman" w:hAnsi="Times New Roman"/>
          <w:sz w:val="24"/>
          <w:szCs w:val="24"/>
          <w:rtl w:val="0"/>
        </w:rPr>
        <w:t xml:space="preserve">C- specific endonuclease activity in </w:t>
      </w:r>
      <w:r w:rsidDel="00000000" w:rsidR="00000000" w:rsidRPr="00000000">
        <w:rPr>
          <w:rFonts w:ascii="Times New Roman" w:cs="Times New Roman" w:eastAsia="Times New Roman" w:hAnsi="Times New Roman"/>
          <w:i w:val="1"/>
          <w:sz w:val="24"/>
          <w:szCs w:val="24"/>
          <w:rtl w:val="0"/>
        </w:rPr>
        <w:t xml:space="preserve">Calothrix PCC 7103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Experiment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MMR corrects DNA damage by excising an extended single-stranded fragment of the newly synthesized DNA and then filling the resulting gap. The signal for the MMR is hydrolysis of the phosphodiester bond in one of the DNA strands. This experiment, following the lead of Monakhova, will be done in four parts; construction of plasmids containing the MutL gene from a species of Cyanobacteria, protein purification of MutL,  and hydrolysis of plasmid DNA by MutL. </w:t>
      </w:r>
    </w:p>
    <w:p w:rsidR="00000000" w:rsidDel="00000000" w:rsidP="00000000" w:rsidRDefault="00000000" w:rsidRPr="00000000" w14:paraId="0000000C">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step is construction of the plasmids containing the rsMutL gene. The  open reading frame of mutL gene will be amplified from </w:t>
      </w:r>
      <w:r w:rsidDel="00000000" w:rsidR="00000000" w:rsidRPr="00000000">
        <w:rPr>
          <w:rFonts w:ascii="Times New Roman" w:cs="Times New Roman" w:eastAsia="Times New Roman" w:hAnsi="Times New Roman"/>
          <w:i w:val="1"/>
          <w:sz w:val="24"/>
          <w:szCs w:val="24"/>
          <w:rtl w:val="0"/>
        </w:rPr>
        <w:t xml:space="preserve">Calothrix PCC 7103 </w:t>
      </w:r>
      <w:r w:rsidDel="00000000" w:rsidR="00000000" w:rsidRPr="00000000">
        <w:rPr>
          <w:rFonts w:ascii="Times New Roman" w:cs="Times New Roman" w:eastAsia="Times New Roman" w:hAnsi="Times New Roman"/>
          <w:sz w:val="24"/>
          <w:szCs w:val="24"/>
          <w:rtl w:val="0"/>
        </w:rPr>
        <w:t xml:space="preserve">genomic DNA by PCR with Pfu DNA polymerase using gene-specific primers containing a 5’-overhang that introduced a restriction site. The primers would be designed based on the annotated complete genome sequence of  </w:t>
      </w:r>
      <w:r w:rsidDel="00000000" w:rsidR="00000000" w:rsidRPr="00000000">
        <w:rPr>
          <w:rFonts w:ascii="Times New Roman" w:cs="Times New Roman" w:eastAsia="Times New Roman" w:hAnsi="Times New Roman"/>
          <w:i w:val="1"/>
          <w:sz w:val="24"/>
          <w:szCs w:val="24"/>
          <w:rtl w:val="0"/>
        </w:rPr>
        <w:t xml:space="preserve">Calothrix PCC 7103. </w:t>
      </w:r>
      <w:r w:rsidDel="00000000" w:rsidR="00000000" w:rsidRPr="00000000">
        <w:rPr>
          <w:rFonts w:ascii="Times New Roman" w:cs="Times New Roman" w:eastAsia="Times New Roman" w:hAnsi="Times New Roman"/>
          <w:sz w:val="24"/>
          <w:szCs w:val="24"/>
          <w:rtl w:val="0"/>
        </w:rPr>
        <w:t xml:space="preserve">The product of the PCR would be treated and cloned into a plasmid vector that contains the sequence.</w:t>
      </w:r>
    </w:p>
    <w:p w:rsidR="00000000" w:rsidDel="00000000" w:rsidP="00000000" w:rsidRDefault="00000000" w:rsidRPr="00000000" w14:paraId="0000000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purification process of MutL would use methods described from </w:t>
      </w:r>
      <w:r w:rsidDel="00000000" w:rsidR="00000000" w:rsidRPr="00000000">
        <w:rPr>
          <w:rFonts w:ascii="Times New Roman" w:cs="Times New Roman" w:eastAsia="Times New Roman" w:hAnsi="Times New Roman"/>
          <w:i w:val="1"/>
          <w:sz w:val="24"/>
          <w:szCs w:val="24"/>
          <w:rtl w:val="0"/>
        </w:rPr>
        <w:t xml:space="preserve">N. gonorrhoeae</w:t>
      </w:r>
      <w:r w:rsidDel="00000000" w:rsidR="00000000" w:rsidRPr="00000000">
        <w:rPr>
          <w:rFonts w:ascii="Times New Roman" w:cs="Times New Roman" w:eastAsia="Times New Roman" w:hAnsi="Times New Roman"/>
          <w:sz w:val="24"/>
          <w:szCs w:val="24"/>
          <w:rtl w:val="0"/>
        </w:rPr>
        <w:t xml:space="preserve"> [9], and includes cell lysis by sonication, centrifugation of the lystate, and chromatography of the resultant supernatant on Ni-NTA-agarose, to yield homogenous MutL protein.   </w:t>
      </w:r>
    </w:p>
    <w:p w:rsidR="00000000" w:rsidDel="00000000" w:rsidP="00000000" w:rsidRDefault="00000000" w:rsidRPr="00000000" w14:paraId="0000000E">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Linear DNA substrates with the potential mismatch and hemimethylated GMeC/CG sites were generated, by methods proposed by Winkler [10], from PCR products amplified by Pfu DNA polymerase similarly as described earlier. The product of the PCR would be treated and cloned into a plasmid vector that contains the hemimethylated site. Hydrolysis of plasmid DNA by MutL would begin by incubating the MMR-plasmid with the MutL. DNA hydrolysis efficiency would be measured by the amount of formed nickel DNA (plasmid with a single-stranded break). The reaction mixture would be  analyzed by electrophoresis[5]. </w:t>
      </w:r>
    </w:p>
    <w:p w:rsidR="00000000" w:rsidDel="00000000" w:rsidP="00000000" w:rsidRDefault="00000000" w:rsidRPr="00000000" w14:paraId="0000000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11">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Results from this experiment have the potential to demonstrate that MutL from </w:t>
      </w:r>
      <w:r w:rsidDel="00000000" w:rsidR="00000000" w:rsidRPr="00000000">
        <w:rPr>
          <w:rFonts w:ascii="Times New Roman" w:cs="Times New Roman" w:eastAsia="Times New Roman" w:hAnsi="Times New Roman"/>
          <w:i w:val="1"/>
          <w:sz w:val="24"/>
          <w:szCs w:val="24"/>
          <w:rtl w:val="0"/>
        </w:rPr>
        <w:t xml:space="preserve">Calothrix PCC 7103</w:t>
      </w:r>
      <w:r w:rsidDel="00000000" w:rsidR="00000000" w:rsidRPr="00000000">
        <w:rPr>
          <w:rFonts w:ascii="Times New Roman" w:cs="Times New Roman" w:eastAsia="Times New Roman" w:hAnsi="Times New Roman"/>
          <w:sz w:val="24"/>
          <w:szCs w:val="24"/>
          <w:rtl w:val="0"/>
        </w:rPr>
        <w:t xml:space="preserve"> is endonuclease capable of introducing single-single breaks in DNA[7]. This result  would provide evidence to support the possibility of a G</w:t>
      </w:r>
      <w:r w:rsidDel="00000000" w:rsidR="00000000" w:rsidRPr="00000000">
        <w:rPr>
          <w:rFonts w:ascii="Times New Roman" w:cs="Times New Roman" w:eastAsia="Times New Roman" w:hAnsi="Times New Roman"/>
          <w:sz w:val="24"/>
          <w:szCs w:val="24"/>
          <w:vertAlign w:val="superscript"/>
          <w:rtl w:val="0"/>
        </w:rPr>
        <w:t xml:space="preserve">me</w:t>
      </w:r>
      <w:r w:rsidDel="00000000" w:rsidR="00000000" w:rsidRPr="00000000">
        <w:rPr>
          <w:rFonts w:ascii="Times New Roman" w:cs="Times New Roman" w:eastAsia="Times New Roman" w:hAnsi="Times New Roman"/>
          <w:sz w:val="24"/>
          <w:szCs w:val="24"/>
          <w:rtl w:val="0"/>
        </w:rPr>
        <w:t xml:space="preserve">C- specific MMR  system in cyanobacteria, and possiblying aid in increasing the stability of engineered cyanobacterial based industrial applications in the future. If MutL was unable to hydrolyze the DNA, it may suggest lack of involvement of MutL in MMR  system. Potential pitfalls include being able to acquire </w:t>
      </w:r>
      <w:r w:rsidDel="00000000" w:rsidR="00000000" w:rsidRPr="00000000">
        <w:rPr>
          <w:rFonts w:ascii="Times New Roman" w:cs="Times New Roman" w:eastAsia="Times New Roman" w:hAnsi="Times New Roman"/>
          <w:i w:val="1"/>
          <w:sz w:val="24"/>
          <w:szCs w:val="24"/>
          <w:rtl w:val="0"/>
        </w:rPr>
        <w:t xml:space="preserve">Calothrix PCC 7103, </w:t>
      </w:r>
      <w:r w:rsidDel="00000000" w:rsidR="00000000" w:rsidRPr="00000000">
        <w:rPr>
          <w:rFonts w:ascii="Times New Roman" w:cs="Times New Roman" w:eastAsia="Times New Roman" w:hAnsi="Times New Roman"/>
          <w:sz w:val="24"/>
          <w:szCs w:val="24"/>
          <w:rtl w:val="0"/>
        </w:rPr>
        <w:t xml:space="preserve">and alternatives with similar phylogenetic profile may need to be considered. </w:t>
      </w:r>
    </w:p>
    <w:p w:rsidR="00000000" w:rsidDel="00000000" w:rsidP="00000000" w:rsidRDefault="00000000" w:rsidRPr="00000000" w14:paraId="00000012">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experiment could be more expansive and exhaustive if the effect of different divalent metal cations on DNA hydrolysis were also considered, so that rate of hydrolysis could be compared. The effect of ATP on MutL endonuclease activity could also be another variable to consider. </w:t>
      </w:r>
    </w:p>
    <w:p w:rsidR="00000000" w:rsidDel="00000000" w:rsidP="00000000" w:rsidRDefault="00000000" w:rsidRPr="00000000" w14:paraId="00000013">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Batsalova, Tsvetelina, et al. “Assessment of the Cytotoxicity, Antioxidant Activity and Chemical Composition of Extracts from the Cyanobacterium Fischerella Major Gomont.” </w:t>
      </w:r>
      <w:r w:rsidDel="00000000" w:rsidR="00000000" w:rsidRPr="00000000">
        <w:rPr>
          <w:rFonts w:ascii="Times New Roman" w:cs="Times New Roman" w:eastAsia="Times New Roman" w:hAnsi="Times New Roman"/>
          <w:i w:val="1"/>
          <w:sz w:val="24"/>
          <w:szCs w:val="24"/>
          <w:rtl w:val="0"/>
        </w:rPr>
        <w:t xml:space="preserve">Chemosphere</w:t>
      </w:r>
      <w:r w:rsidDel="00000000" w:rsidR="00000000" w:rsidRPr="00000000">
        <w:rPr>
          <w:rFonts w:ascii="Times New Roman" w:cs="Times New Roman" w:eastAsia="Times New Roman" w:hAnsi="Times New Roman"/>
          <w:sz w:val="24"/>
          <w:szCs w:val="24"/>
          <w:rtl w:val="0"/>
        </w:rPr>
        <w:t xml:space="preserve">, vol. 218, 2019, pp. 93–103., doi:10.1016/j.chemosphere.2018.11.097.</w:t>
      </w:r>
    </w:p>
    <w:p w:rsidR="00000000" w:rsidDel="00000000" w:rsidP="00000000" w:rsidRDefault="00000000" w:rsidRPr="00000000" w14:paraId="00000019">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Singh, Harinder. “Desiccation and Radiation Stress Tolerance in Cyanobacteria.” </w:t>
      </w:r>
      <w:r w:rsidDel="00000000" w:rsidR="00000000" w:rsidRPr="00000000">
        <w:rPr>
          <w:rFonts w:ascii="Times New Roman" w:cs="Times New Roman" w:eastAsia="Times New Roman" w:hAnsi="Times New Roman"/>
          <w:i w:val="1"/>
          <w:sz w:val="24"/>
          <w:szCs w:val="24"/>
          <w:rtl w:val="0"/>
        </w:rPr>
        <w:t xml:space="preserve">Journal of Basic Microbiology</w:t>
      </w:r>
      <w:r w:rsidDel="00000000" w:rsidR="00000000" w:rsidRPr="00000000">
        <w:rPr>
          <w:rFonts w:ascii="Times New Roman" w:cs="Times New Roman" w:eastAsia="Times New Roman" w:hAnsi="Times New Roman"/>
          <w:sz w:val="24"/>
          <w:szCs w:val="24"/>
          <w:rtl w:val="0"/>
        </w:rPr>
        <w:t xml:space="preserve">, vol. 58, no. 10, 2018, pp. 813–826., doi:10.1002/jobm.201800216.</w:t>
      </w:r>
    </w:p>
    <w:p w:rsidR="00000000" w:rsidDel="00000000" w:rsidP="00000000" w:rsidRDefault="00000000" w:rsidRPr="00000000" w14:paraId="0000001B">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[3]Cassier-Chauvat, Corinne, et al. “Comparative Genomics of DNA Recombination and Repair in Cyanobacteria: Biotechnological Implications.” </w:t>
      </w:r>
      <w:r w:rsidDel="00000000" w:rsidR="00000000" w:rsidRPr="00000000">
        <w:rPr>
          <w:rFonts w:ascii="Times New Roman" w:cs="Times New Roman" w:eastAsia="Times New Roman" w:hAnsi="Times New Roman"/>
          <w:i w:val="1"/>
          <w:sz w:val="24"/>
          <w:szCs w:val="24"/>
          <w:rtl w:val="0"/>
        </w:rPr>
        <w:t xml:space="preserve">Frontiers in Microbiology</w:t>
      </w:r>
      <w:r w:rsidDel="00000000" w:rsidR="00000000" w:rsidRPr="00000000">
        <w:rPr>
          <w:rFonts w:ascii="Times New Roman" w:cs="Times New Roman" w:eastAsia="Times New Roman" w:hAnsi="Times New Roman"/>
          <w:sz w:val="24"/>
          <w:szCs w:val="24"/>
          <w:rtl w:val="0"/>
        </w:rPr>
        <w:t xml:space="preserve">, vol. 7, 2016, doi:10.3389/fmicb.2016.01809. </w:t>
      </w:r>
    </w:p>
    <w:p w:rsidR="00000000" w:rsidDel="00000000" w:rsidP="00000000" w:rsidRDefault="00000000" w:rsidRPr="00000000" w14:paraId="0000001D">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Xu, Minli, et al. “Selection, Periodicity and Potential Function for Highly Iterative Palindrome-1 (HIP1) in Cyanobacterial Genomes.” </w:t>
      </w:r>
      <w:r w:rsidDel="00000000" w:rsidR="00000000" w:rsidRPr="00000000">
        <w:rPr>
          <w:rFonts w:ascii="Times New Roman" w:cs="Times New Roman" w:eastAsia="Times New Roman" w:hAnsi="Times New Roman"/>
          <w:i w:val="1"/>
          <w:sz w:val="24"/>
          <w:szCs w:val="24"/>
          <w:rtl w:val="0"/>
        </w:rPr>
        <w:t xml:space="preserve">Nucleic Acids Research</w:t>
      </w:r>
      <w:r w:rsidDel="00000000" w:rsidR="00000000" w:rsidRPr="00000000">
        <w:rPr>
          <w:rFonts w:ascii="Times New Roman" w:cs="Times New Roman" w:eastAsia="Times New Roman" w:hAnsi="Times New Roman"/>
          <w:sz w:val="24"/>
          <w:szCs w:val="24"/>
          <w:rtl w:val="0"/>
        </w:rPr>
        <w:t xml:space="preserve">, vol. 46, no. 5, 2018, pp. 2265–2278., doi:10.1093/nar/gky075. </w:t>
      </w:r>
    </w:p>
    <w:p w:rsidR="00000000" w:rsidDel="00000000" w:rsidP="00000000" w:rsidRDefault="00000000" w:rsidRPr="00000000" w14:paraId="0000001F">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Monakhova, M. V., et al. “Endonuclease Activity of MutL Protein of the Rhodobacter Sphaeroides Mismatch Repair System.” </w:t>
      </w:r>
      <w:r w:rsidDel="00000000" w:rsidR="00000000" w:rsidRPr="00000000">
        <w:rPr>
          <w:rFonts w:ascii="Times New Roman" w:cs="Times New Roman" w:eastAsia="Times New Roman" w:hAnsi="Times New Roman"/>
          <w:i w:val="1"/>
          <w:sz w:val="24"/>
          <w:szCs w:val="24"/>
          <w:rtl w:val="0"/>
        </w:rPr>
        <w:t xml:space="preserve">Biochemistry (Moscow)</w:t>
      </w:r>
      <w:r w:rsidDel="00000000" w:rsidR="00000000" w:rsidRPr="00000000">
        <w:rPr>
          <w:rFonts w:ascii="Times New Roman" w:cs="Times New Roman" w:eastAsia="Times New Roman" w:hAnsi="Times New Roman"/>
          <w:sz w:val="24"/>
          <w:szCs w:val="24"/>
          <w:rtl w:val="0"/>
        </w:rPr>
        <w:t xml:space="preserve">, vol. 83, no. 3, 2018, pp. 281–293., doi:10.1134/s0006297918030082. </w:t>
      </w:r>
    </w:p>
    <w:p w:rsidR="00000000" w:rsidDel="00000000" w:rsidP="00000000" w:rsidRDefault="00000000" w:rsidRPr="00000000" w14:paraId="00000021">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Elhai, Jeff. “Highly Iterated Palindromic Sequences (HIPs) and Their Relationship to DNA Methyltransferases.” </w:t>
      </w:r>
      <w:r w:rsidDel="00000000" w:rsidR="00000000" w:rsidRPr="00000000">
        <w:rPr>
          <w:rFonts w:ascii="Times New Roman" w:cs="Times New Roman" w:eastAsia="Times New Roman" w:hAnsi="Times New Roman"/>
          <w:i w:val="1"/>
          <w:sz w:val="24"/>
          <w:szCs w:val="24"/>
          <w:rtl w:val="0"/>
        </w:rPr>
        <w:t xml:space="preserve">Life</w:t>
      </w:r>
      <w:r w:rsidDel="00000000" w:rsidR="00000000" w:rsidRPr="00000000">
        <w:rPr>
          <w:rFonts w:ascii="Times New Roman" w:cs="Times New Roman" w:eastAsia="Times New Roman" w:hAnsi="Times New Roman"/>
          <w:sz w:val="24"/>
          <w:szCs w:val="24"/>
          <w:rtl w:val="0"/>
        </w:rPr>
        <w:t xml:space="preserve">, vol. 5, no. 1, 2015, pp. 921–948., doi:10.3390/life5010921.</w:t>
      </w:r>
    </w:p>
    <w:p w:rsidR="00000000" w:rsidDel="00000000" w:rsidP="00000000" w:rsidRDefault="00000000" w:rsidRPr="00000000" w14:paraId="00000023">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Wyrzykowski, J., and M. R. Volkert. “The Escherichia Coli Methyl-Directed Mismatch Repair System Repairs Base Pairs Containing Oxidative Lesions.” </w:t>
      </w:r>
      <w:r w:rsidDel="00000000" w:rsidR="00000000" w:rsidRPr="00000000">
        <w:rPr>
          <w:rFonts w:ascii="Times New Roman" w:cs="Times New Roman" w:eastAsia="Times New Roman" w:hAnsi="Times New Roman"/>
          <w:i w:val="1"/>
          <w:sz w:val="24"/>
          <w:szCs w:val="24"/>
          <w:rtl w:val="0"/>
        </w:rPr>
        <w:t xml:space="preserve">Journal of Bacteriology</w:t>
      </w:r>
      <w:r w:rsidDel="00000000" w:rsidR="00000000" w:rsidRPr="00000000">
        <w:rPr>
          <w:rFonts w:ascii="Times New Roman" w:cs="Times New Roman" w:eastAsia="Times New Roman" w:hAnsi="Times New Roman"/>
          <w:sz w:val="24"/>
          <w:szCs w:val="24"/>
          <w:rtl w:val="0"/>
        </w:rPr>
        <w:t xml:space="preserve">, vol. 185, no. 5, 2003, pp. 1701–1704., doi:10.1128/jb.185.5.1701-1704.2003. </w:t>
      </w:r>
      <w:r w:rsidDel="00000000" w:rsidR="00000000" w:rsidRPr="00000000">
        <w:rPr>
          <w:rtl w:val="0"/>
        </w:rPr>
      </w:r>
    </w:p>
    <w:p w:rsidR="00000000" w:rsidDel="00000000" w:rsidP="00000000" w:rsidRDefault="00000000" w:rsidRPr="00000000" w14:paraId="00000026">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Duppatla, Viswanadham, et al. “The C-Terminal Domain Is Sufficient for Endonuclease Activity OfNeisseria GonorrhoeaeMutL.” </w:t>
      </w:r>
      <w:r w:rsidDel="00000000" w:rsidR="00000000" w:rsidRPr="00000000">
        <w:rPr>
          <w:rFonts w:ascii="Times New Roman" w:cs="Times New Roman" w:eastAsia="Times New Roman" w:hAnsi="Times New Roman"/>
          <w:i w:val="1"/>
          <w:sz w:val="24"/>
          <w:szCs w:val="24"/>
          <w:rtl w:val="0"/>
        </w:rPr>
        <w:t xml:space="preserve">Biochemical Journal</w:t>
      </w:r>
      <w:r w:rsidDel="00000000" w:rsidR="00000000" w:rsidRPr="00000000">
        <w:rPr>
          <w:rFonts w:ascii="Times New Roman" w:cs="Times New Roman" w:eastAsia="Times New Roman" w:hAnsi="Times New Roman"/>
          <w:sz w:val="24"/>
          <w:szCs w:val="24"/>
          <w:rtl w:val="0"/>
        </w:rPr>
        <w:t xml:space="preserve">, vol. 423, no. 2, 2009, pp. 265–277., doi:10.1042/bj20090626. </w:t>
      </w:r>
    </w:p>
    <w:p w:rsidR="00000000" w:rsidDel="00000000" w:rsidP="00000000" w:rsidRDefault="00000000" w:rsidRPr="00000000" w14:paraId="00000028">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Winkler, Ines, et al. “Chemical Trapping of the Dynamic MutS-MutL Complex Formed in DNA Mismatch Repair InEscherichia Coli.” </w:t>
      </w:r>
      <w:r w:rsidDel="00000000" w:rsidR="00000000" w:rsidRPr="00000000">
        <w:rPr>
          <w:rFonts w:ascii="Times New Roman" w:cs="Times New Roman" w:eastAsia="Times New Roman" w:hAnsi="Times New Roman"/>
          <w:i w:val="1"/>
          <w:sz w:val="24"/>
          <w:szCs w:val="24"/>
          <w:rtl w:val="0"/>
        </w:rPr>
        <w:t xml:space="preserve">Journal of Biological Chemistry</w:t>
      </w:r>
      <w:r w:rsidDel="00000000" w:rsidR="00000000" w:rsidRPr="00000000">
        <w:rPr>
          <w:rFonts w:ascii="Times New Roman" w:cs="Times New Roman" w:eastAsia="Times New Roman" w:hAnsi="Times New Roman"/>
          <w:sz w:val="24"/>
          <w:szCs w:val="24"/>
          <w:rtl w:val="0"/>
        </w:rPr>
        <w:t xml:space="preserve">, vol. 286, no. 19, 2011, pp. 17326–17337., doi:10.1074/jbc.m110.187641.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