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5B75" w14:textId="20973A19" w:rsidR="00046F70" w:rsidRDefault="00046F70">
      <w:pPr>
        <w:rPr>
          <w:b/>
        </w:rPr>
      </w:pPr>
      <w:r>
        <w:rPr>
          <w:b/>
        </w:rPr>
        <w:t>Introduction</w:t>
      </w:r>
    </w:p>
    <w:p w14:paraId="1CFFA454" w14:textId="1E3B4B50" w:rsidR="003A76E5" w:rsidRDefault="006B14BD" w:rsidP="005852FD">
      <w:pPr>
        <w:ind w:firstLine="720"/>
      </w:pPr>
      <w:r>
        <w:t xml:space="preserve">The modern world relies heavily on bioactive small </w:t>
      </w:r>
      <w:r w:rsidR="005852FD">
        <w:t>molecules</w:t>
      </w:r>
      <w:r w:rsidR="00847123">
        <w:t xml:space="preserve"> by </w:t>
      </w:r>
      <w:r w:rsidR="005852FD">
        <w:t>finding</w:t>
      </w:r>
      <w:r>
        <w:t xml:space="preserve"> use in medicine, agriculture, and industry. </w:t>
      </w:r>
      <w:r w:rsidR="00820F4B">
        <w:t>Although chemists often employ vast imaginative capacities to develop new molecules, nature continue</w:t>
      </w:r>
      <w:r w:rsidR="00B97A92">
        <w:t>s to act as</w:t>
      </w:r>
      <w:r w:rsidR="00820F4B">
        <w:t xml:space="preserve"> a wellspring of</w:t>
      </w:r>
      <w:r w:rsidR="00E92855">
        <w:t xml:space="preserve"> chemical</w:t>
      </w:r>
      <w:r w:rsidR="00820F4B">
        <w:t xml:space="preserve"> inspiration and novelty.</w:t>
      </w:r>
      <w:r w:rsidR="003B7F12">
        <w:t xml:space="preserve"> </w:t>
      </w:r>
      <w:r w:rsidR="00B97A92">
        <w:t>The vast majority of FDA approved drugs are natur</w:t>
      </w:r>
      <w:bookmarkStart w:id="0" w:name="_GoBack"/>
      <w:bookmarkEnd w:id="0"/>
      <w:r w:rsidR="00B97A92">
        <w:t xml:space="preserve">al products in their own right, or some derivative thereof. Anticancer and antitumor </w:t>
      </w:r>
      <w:r w:rsidR="00E92855">
        <w:t>natural products</w:t>
      </w:r>
      <w:r w:rsidR="00B97A92">
        <w:t xml:space="preserve"> have come under renewed interest as pharmacologists devise </w:t>
      </w:r>
      <w:r w:rsidR="00844960">
        <w:t>targeted</w:t>
      </w:r>
      <w:r w:rsidR="00E92855">
        <w:t xml:space="preserve"> drug delivery systems</w:t>
      </w:r>
      <w:r w:rsidR="00FC012A">
        <w:t xml:space="preserve"> (Harvey et al, 2015</w:t>
      </w:r>
      <w:r w:rsidR="00844960">
        <w:t>)</w:t>
      </w:r>
      <w:r w:rsidR="00E92855">
        <w:t>.</w:t>
      </w:r>
      <w:r w:rsidR="00844960">
        <w:t xml:space="preserve"> Several important chemotherapy drugs have been derived from botanical sources including paclitaxel from Pacific yew and vincristine from Madagascar periwinkle. </w:t>
      </w:r>
      <w:r w:rsidR="00847123">
        <w:t xml:space="preserve">Given </w:t>
      </w:r>
      <w:r w:rsidR="00844960">
        <w:t xml:space="preserve">supply constraints of Pacific yew bark, </w:t>
      </w:r>
      <w:r w:rsidR="005852FD">
        <w:t>researchers</w:t>
      </w:r>
      <w:r w:rsidR="00FC012A">
        <w:t xml:space="preserve"> (</w:t>
      </w:r>
      <w:r w:rsidR="00012395">
        <w:t>Stierle et al, 1993</w:t>
      </w:r>
      <w:r w:rsidR="00844960">
        <w:t>) were able to determine</w:t>
      </w:r>
      <w:r w:rsidR="00847123">
        <w:t xml:space="preserve"> that</w:t>
      </w:r>
      <w:r w:rsidR="00844960">
        <w:t xml:space="preserve"> biosynthesis of paclitaxel was accomplished by an endophytic fungus living within the tree. Conveniently, heterologous expression of biosynthetic enzymes is simpler for bacterial and fungal endophytes, and so supply was able to be met by industrial cell cultur</w:t>
      </w:r>
      <w:r w:rsidR="00072E49">
        <w:t>e instead of botanical harvest (Williams et al, 2000</w:t>
      </w:r>
      <w:r w:rsidR="00844960">
        <w:t>).</w:t>
      </w:r>
      <w:r w:rsidR="005852FD">
        <w:t xml:space="preserve"> </w:t>
      </w:r>
    </w:p>
    <w:p w14:paraId="2BC49F95" w14:textId="19B83E2C" w:rsidR="005852FD" w:rsidRDefault="005852FD" w:rsidP="005852FD">
      <w:pPr>
        <w:ind w:firstLine="720"/>
      </w:pPr>
      <w:r>
        <w:t xml:space="preserve">Endophytes, like all microorganisms, have clusters of genes responsible for the production of </w:t>
      </w:r>
      <w:r w:rsidR="003A76E5">
        <w:t>individual secondary metabolites. Biosynthetic gene clusters (BGC) are generally organized</w:t>
      </w:r>
      <w:r w:rsidR="00EF22B7">
        <w:t xml:space="preserve"> in the genome</w:t>
      </w:r>
      <w:r w:rsidR="003A76E5">
        <w:t xml:space="preserve"> with a core set of genes</w:t>
      </w:r>
      <w:r w:rsidR="00847123">
        <w:t xml:space="preserve"> (</w:t>
      </w:r>
      <w:r w:rsidR="003A76E5">
        <w:t>synthases</w:t>
      </w:r>
      <w:r w:rsidR="00847123">
        <w:t>)</w:t>
      </w:r>
      <w:r w:rsidR="003A76E5">
        <w:t xml:space="preserve"> that produce the backbone of the metabolite and </w:t>
      </w:r>
      <w:r w:rsidR="00847123">
        <w:t xml:space="preserve">are </w:t>
      </w:r>
      <w:r w:rsidR="00EF22B7">
        <w:t xml:space="preserve">surrounded by </w:t>
      </w:r>
      <w:r w:rsidR="003A76E5">
        <w:t>modifying enzymes</w:t>
      </w:r>
      <w:r w:rsidR="00EF22B7">
        <w:t xml:space="preserve"> responsible for altering the backbone into a</w:t>
      </w:r>
      <w:r w:rsidR="003A76E5">
        <w:t xml:space="preserve"> mature product. Enough BGCs have now been studied to allow prediction of the type of BGC </w:t>
      </w:r>
      <w:r w:rsidR="00EF22B7">
        <w:t>responsible</w:t>
      </w:r>
      <w:r w:rsidR="003A76E5">
        <w:t xml:space="preserve"> simply by classifying fe</w:t>
      </w:r>
      <w:r w:rsidR="00EF22B7">
        <w:t>atures of the molecule at hand</w:t>
      </w:r>
      <w:r w:rsidR="00E7185D">
        <w:t xml:space="preserve"> (Greule et al, 2017)</w:t>
      </w:r>
      <w:r w:rsidR="00EF22B7">
        <w:t>.</w:t>
      </w:r>
    </w:p>
    <w:p w14:paraId="7984FE1E" w14:textId="4C35DBBA" w:rsidR="00844960" w:rsidRDefault="005852FD" w:rsidP="005852FD">
      <w:pPr>
        <w:ind w:firstLine="720"/>
      </w:pPr>
      <w:r>
        <w:t>Linking specific natural products from plants to their potential endophytic origin</w:t>
      </w:r>
      <w:r w:rsidR="00844960">
        <w:t xml:space="preserve"> is hampered by several characteristics innate to </w:t>
      </w:r>
      <w:r>
        <w:t xml:space="preserve">these unique symbiotic relationships. </w:t>
      </w:r>
      <w:r w:rsidR="001C61AE">
        <w:t>Adaptation to symbioses</w:t>
      </w:r>
      <w:r w:rsidR="00844960">
        <w:t xml:space="preserve"> within the host</w:t>
      </w:r>
      <w:r w:rsidR="003A76E5">
        <w:t xml:space="preserve"> frequently renders endophytes unculturable</w:t>
      </w:r>
      <w:r w:rsidR="00E521DE">
        <w:t xml:space="preserve"> (Liaquat and Eltem, 2016</w:t>
      </w:r>
      <w:r w:rsidR="00844960">
        <w:t xml:space="preserve">) or only </w:t>
      </w:r>
      <w:r w:rsidR="003A76E5">
        <w:t xml:space="preserve">able to </w:t>
      </w:r>
      <w:r w:rsidR="00844960">
        <w:t xml:space="preserve">produce natural products </w:t>
      </w:r>
      <w:r>
        <w:t xml:space="preserve">under particular environmental conditions </w:t>
      </w:r>
      <w:r w:rsidR="00E521DE">
        <w:t>(Stevens et al, 2013</w:t>
      </w:r>
      <w:r w:rsidR="00844960">
        <w:t>)</w:t>
      </w:r>
      <w:r w:rsidR="00BB22AC">
        <w:t>,</w:t>
      </w:r>
      <w:r>
        <w:t xml:space="preserve"> w</w:t>
      </w:r>
      <w:r w:rsidR="003A76E5">
        <w:t>hich are difficult to predict</w:t>
      </w:r>
      <w:r w:rsidR="00844960">
        <w:t>. Historically</w:t>
      </w:r>
      <w:r w:rsidR="00603763">
        <w:t>,</w:t>
      </w:r>
      <w:r w:rsidR="00844960">
        <w:t xml:space="preserve"> this has meant </w:t>
      </w:r>
      <w:r w:rsidR="00BB22AC">
        <w:t xml:space="preserve">that </w:t>
      </w:r>
      <w:r w:rsidR="00603763">
        <w:t>such screening was</w:t>
      </w:r>
      <w:r>
        <w:t xml:space="preserve"> inherently</w:t>
      </w:r>
      <w:r w:rsidR="00603763">
        <w:t xml:space="preserve"> </w:t>
      </w:r>
      <w:r>
        <w:t>dependent on trial and error</w:t>
      </w:r>
      <w:r w:rsidR="00603763">
        <w:t xml:space="preserve">. </w:t>
      </w:r>
      <w:r>
        <w:t>Improvements in</w:t>
      </w:r>
      <w:r w:rsidR="00603763">
        <w:t xml:space="preserve"> </w:t>
      </w:r>
      <w:r>
        <w:t>metagenomic</w:t>
      </w:r>
      <w:r w:rsidR="00603763">
        <w:t xml:space="preserve"> sequencing technologies and competent software</w:t>
      </w:r>
      <w:r>
        <w:t xml:space="preserve"> to </w:t>
      </w:r>
      <w:r w:rsidR="003A76E5">
        <w:t>identify BGCs</w:t>
      </w:r>
      <w:r>
        <w:t xml:space="preserve"> have allowed for the rapid curation of vast BGC libraries</w:t>
      </w:r>
      <w:r w:rsidR="00BB22AC">
        <w:t>,</w:t>
      </w:r>
      <w:r>
        <w:t xml:space="preserve"> which would be otherwise inaccessible by culture</w:t>
      </w:r>
      <w:r w:rsidR="005752E8">
        <w:t>-dependent</w:t>
      </w:r>
      <w:r>
        <w:t xml:space="preserve"> methods. However, such an</w:t>
      </w:r>
      <w:r w:rsidR="00603763">
        <w:t xml:space="preserve"> </w:t>
      </w:r>
      <w:r>
        <w:t xml:space="preserve">approach does little to </w:t>
      </w:r>
      <w:r w:rsidR="001C61AE">
        <w:t>link</w:t>
      </w:r>
      <w:r>
        <w:t xml:space="preserve"> </w:t>
      </w:r>
      <w:r w:rsidR="003A76E5">
        <w:t>a</w:t>
      </w:r>
      <w:r>
        <w:t xml:space="preserve"> specific B</w:t>
      </w:r>
      <w:r w:rsidR="003A76E5">
        <w:t xml:space="preserve">GC </w:t>
      </w:r>
      <w:r w:rsidR="001C61AE">
        <w:t>to</w:t>
      </w:r>
      <w:r w:rsidR="003A76E5">
        <w:t xml:space="preserve"> a particular </w:t>
      </w:r>
      <w:r>
        <w:t>natural product</w:t>
      </w:r>
      <w:r w:rsidR="003A76E5">
        <w:t>: to do so</w:t>
      </w:r>
      <w:r w:rsidR="001C61AE">
        <w:t xml:space="preserve"> efficiently</w:t>
      </w:r>
      <w:r>
        <w:t xml:space="preserve"> requires a targeted approach. </w:t>
      </w:r>
    </w:p>
    <w:p w14:paraId="01C86494" w14:textId="59199BE1" w:rsidR="005852FD" w:rsidRDefault="000B00F5" w:rsidP="005852FD">
      <w:pPr>
        <w:ind w:firstLine="720"/>
      </w:pPr>
      <w:r>
        <w:t xml:space="preserve">A class of natural products known as acetogenins has been isolated exclusively from the custard apple family (Annonaceae). Annonaceous acetogenins (ACGs) have proved to </w:t>
      </w:r>
      <w:r w:rsidR="004326C6">
        <w:t>have</w:t>
      </w:r>
      <w:r>
        <w:t xml:space="preserve"> potent</w:t>
      </w:r>
      <w:r w:rsidR="004326C6">
        <w:t xml:space="preserve"> bioactivity including antitumor, pesticidal</w:t>
      </w:r>
      <w:r w:rsidR="00F0058D">
        <w:t xml:space="preserve">, </w:t>
      </w:r>
      <w:r w:rsidR="005752E8">
        <w:t>and antioxidant properties</w:t>
      </w:r>
      <w:r>
        <w:t>. To date</w:t>
      </w:r>
      <w:r w:rsidR="00F0058D">
        <w:t>,</w:t>
      </w:r>
      <w:r>
        <w:t xml:space="preserve"> over 500 ACGs have been isolated from various </w:t>
      </w:r>
      <w:r w:rsidR="004326C6">
        <w:t xml:space="preserve">plants </w:t>
      </w:r>
      <w:r w:rsidR="004D4CC2">
        <w:t>within Annonaceae. The ACGs are relatively</w:t>
      </w:r>
      <w:r w:rsidR="004326C6">
        <w:t xml:space="preserve"> simple in structure and yet </w:t>
      </w:r>
      <w:r w:rsidR="004D4CC2">
        <w:t>diverse</w:t>
      </w:r>
      <w:r w:rsidR="004326C6">
        <w:t xml:space="preserve"> through </w:t>
      </w:r>
      <w:r w:rsidR="004D4CC2">
        <w:t>combinatorial pairing</w:t>
      </w:r>
      <w:r w:rsidR="004326C6">
        <w:t xml:space="preserve"> of functional groups and chiral centers. ACGs are chemically </w:t>
      </w:r>
      <w:r w:rsidR="0057437B">
        <w:t>characterized by a long</w:t>
      </w:r>
      <w:r w:rsidR="00BB22AC">
        <w:t>,</w:t>
      </w:r>
      <w:r w:rsidR="00246A78">
        <w:t xml:space="preserve"> linear</w:t>
      </w:r>
      <w:r w:rsidR="00BB22AC">
        <w:t>,</w:t>
      </w:r>
      <w:r w:rsidR="0057437B">
        <w:t xml:space="preserve"> sparsely functionalized </w:t>
      </w:r>
      <w:r w:rsidR="009F65DF">
        <w:t>C32-34 carbon chain containing 0</w:t>
      </w:r>
      <w:r w:rsidR="0057437B">
        <w:t xml:space="preserve"> to 3 tetrahydrofuran (THF)</w:t>
      </w:r>
      <w:r w:rsidR="00F0058D">
        <w:t xml:space="preserve"> rings and a terminal butyrolactone</w:t>
      </w:r>
      <w:r w:rsidR="00246A78">
        <w:t xml:space="preserve"> (TBL)</w:t>
      </w:r>
      <w:r w:rsidR="00F0058D">
        <w:t xml:space="preserve"> ring</w:t>
      </w:r>
      <w:r w:rsidR="00830DDF">
        <w:t xml:space="preserve"> (Figure 1)</w:t>
      </w:r>
      <w:r w:rsidR="00F0058D">
        <w:t xml:space="preserve">. </w:t>
      </w:r>
      <w:r w:rsidR="004D4CC2">
        <w:t>The</w:t>
      </w:r>
      <w:r w:rsidR="00E348C3">
        <w:t xml:space="preserve"> biosynthetic origins have</w:t>
      </w:r>
      <w:r w:rsidR="004D4CC2">
        <w:t xml:space="preserve"> never been directly studied</w:t>
      </w:r>
      <w:r w:rsidR="00BB22AC">
        <w:t>,</w:t>
      </w:r>
      <w:r w:rsidR="004D4CC2">
        <w:t xml:space="preserve"> though </w:t>
      </w:r>
      <w:r w:rsidR="00E348C3">
        <w:t>they are</w:t>
      </w:r>
      <w:r w:rsidR="004D4CC2">
        <w:t xml:space="preserve"> widely believed to be synthesized from alpha-linole</w:t>
      </w:r>
      <w:r w:rsidR="00BB22AC">
        <w:t>n</w:t>
      </w:r>
      <w:r w:rsidR="004D4CC2">
        <w:t xml:space="preserve">ic acid and 2-propanol </w:t>
      </w:r>
      <w:r w:rsidR="008D3082">
        <w:t>(</w:t>
      </w:r>
      <w:r w:rsidR="008D3082" w:rsidRPr="008D3082">
        <w:t>Mclaughlin</w:t>
      </w:r>
      <w:r w:rsidR="008D3082">
        <w:t xml:space="preserve"> et al, 1993) </w:t>
      </w:r>
      <w:r w:rsidR="004D4CC2">
        <w:t>catalyzed by uncharacterized plant enzymes</w:t>
      </w:r>
      <w:r w:rsidR="009B0B0F">
        <w:t xml:space="preserve">. </w:t>
      </w:r>
    </w:p>
    <w:p w14:paraId="52DEDB61" w14:textId="71969866" w:rsidR="008F23A9" w:rsidRDefault="008F23A9" w:rsidP="005852FD">
      <w:pPr>
        <w:ind w:firstLine="720"/>
      </w:pPr>
      <w:r>
        <w:rPr>
          <w:noProof/>
        </w:rPr>
        <w:lastRenderedPageBreak/>
        <w:drawing>
          <wp:inline distT="0" distB="0" distL="0" distR="0" wp14:anchorId="5B3A7D33" wp14:editId="2EAE6058">
            <wp:extent cx="4775200" cy="3382433"/>
            <wp:effectExtent l="0" t="0" r="6350" b="8890"/>
            <wp:docPr id="2" name="Picture 2" descr="https://www.researchgate.net/profile/Eva_Obledo-Vazquez/publication/291552882/figure/fig3/AS:322880941379606@1453992223738/Chemical-structures-of-six-types-of-acetogenins-present-in-A-muricata-A-Chemical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Eva_Obledo-Vazquez/publication/291552882/figure/fig3/AS:322880941379606@1453992223738/Chemical-structures-of-six-types-of-acetogenins-present-in-A-muricata-A-Chemical_W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304" cy="3395257"/>
                    </a:xfrm>
                    <a:prstGeom prst="rect">
                      <a:avLst/>
                    </a:prstGeom>
                    <a:noFill/>
                    <a:ln>
                      <a:noFill/>
                    </a:ln>
                  </pic:spPr>
                </pic:pic>
              </a:graphicData>
            </a:graphic>
          </wp:inline>
        </w:drawing>
      </w:r>
    </w:p>
    <w:p w14:paraId="7E997985" w14:textId="17BFA742" w:rsidR="008F23A9" w:rsidRPr="008F23A9" w:rsidRDefault="008F23A9" w:rsidP="008F23A9">
      <w:pPr>
        <w:ind w:left="720"/>
        <w:rPr>
          <w:sz w:val="18"/>
          <w:szCs w:val="18"/>
        </w:rPr>
      </w:pPr>
      <w:r w:rsidRPr="008F23A9">
        <w:rPr>
          <w:sz w:val="18"/>
          <w:szCs w:val="18"/>
        </w:rPr>
        <w:t xml:space="preserve">Figure 1: Acetogenins representing the 6 sub-types isolated from </w:t>
      </w:r>
      <w:r w:rsidRPr="008F23A9">
        <w:rPr>
          <w:i/>
          <w:sz w:val="18"/>
          <w:szCs w:val="18"/>
        </w:rPr>
        <w:t xml:space="preserve">Annona </w:t>
      </w:r>
      <w:r w:rsidRPr="008F23A9">
        <w:rPr>
          <w:sz w:val="18"/>
          <w:szCs w:val="18"/>
        </w:rPr>
        <w:t>muricata (C</w:t>
      </w:r>
      <w:r w:rsidRPr="00DE1F8A">
        <w:rPr>
          <w:sz w:val="18"/>
          <w:szCs w:val="18"/>
        </w:rPr>
        <w:t>oria-Téllez</w:t>
      </w:r>
      <w:r w:rsidRPr="008F23A9">
        <w:rPr>
          <w:sz w:val="18"/>
          <w:szCs w:val="18"/>
        </w:rPr>
        <w:t xml:space="preserve"> et al, 2018) displaying the structural simplicity and diversity of acetogenins. ACGs are generally categorized based </w:t>
      </w:r>
      <w:r w:rsidR="00423FE5">
        <w:rPr>
          <w:sz w:val="18"/>
          <w:szCs w:val="18"/>
        </w:rPr>
        <w:t>on the internal ring structures.</w:t>
      </w:r>
      <w:r w:rsidRPr="008F23A9">
        <w:rPr>
          <w:sz w:val="18"/>
          <w:szCs w:val="18"/>
        </w:rPr>
        <w:t xml:space="preserve"> C and F represent the two most common types of ACGs with 1 and 2 THF rings respectively.</w:t>
      </w:r>
    </w:p>
    <w:p w14:paraId="1E0DBF77" w14:textId="055E0B97" w:rsidR="009B0B0F" w:rsidRDefault="009B0B0F" w:rsidP="009B0B0F">
      <w:pPr>
        <w:ind w:firstLine="720"/>
      </w:pPr>
      <w:r>
        <w:t>In 2016</w:t>
      </w:r>
      <w:r w:rsidR="00BB22AC">
        <w:t>,</w:t>
      </w:r>
      <w:r>
        <w:t xml:space="preserve"> </w:t>
      </w:r>
      <w:r w:rsidRPr="009B0B0F">
        <w:t xml:space="preserve">Taechowisan et al </w:t>
      </w:r>
      <w:r>
        <w:t>reported isolating</w:t>
      </w:r>
      <w:r w:rsidRPr="009B0B0F">
        <w:t xml:space="preserve"> </w:t>
      </w:r>
      <w:r w:rsidR="009408CE">
        <w:t>ACGs from a non-annonaceous source</w:t>
      </w:r>
      <w:r w:rsidR="00BB22AC">
        <w:t xml:space="preserve"> for the first time</w:t>
      </w:r>
      <w:r w:rsidR="009408CE">
        <w:t xml:space="preserve">. They isolated </w:t>
      </w:r>
      <w:r w:rsidR="001368D1">
        <w:t>two</w:t>
      </w:r>
      <w:r w:rsidR="009408CE">
        <w:t xml:space="preserve"> previously described ACGs from the culture broth of a bacterial endophyte</w:t>
      </w:r>
      <w:r w:rsidR="00215303">
        <w:t xml:space="preserve"> (Figure 2</w:t>
      </w:r>
      <w:r w:rsidR="004F0782">
        <w:t>)</w:t>
      </w:r>
      <w:r w:rsidR="009408CE">
        <w:t>. The new bacterial species</w:t>
      </w:r>
      <w:r w:rsidR="00BB22AC">
        <w:t xml:space="preserve">, </w:t>
      </w:r>
      <w:r w:rsidR="009408CE">
        <w:t xml:space="preserve">given the temporary name </w:t>
      </w:r>
      <w:r w:rsidR="009408CE" w:rsidRPr="009408CE">
        <w:rPr>
          <w:i/>
        </w:rPr>
        <w:t>Streptomyces sp. VE2</w:t>
      </w:r>
      <w:r w:rsidR="00BB22AC">
        <w:t xml:space="preserve">, </w:t>
      </w:r>
      <w:r w:rsidR="009408CE">
        <w:t xml:space="preserve">was isolated from the stem tissue of </w:t>
      </w:r>
      <w:r w:rsidR="009408CE" w:rsidRPr="009408CE">
        <w:rPr>
          <w:i/>
        </w:rPr>
        <w:t>Vernonia cinerea</w:t>
      </w:r>
      <w:r w:rsidR="009408CE">
        <w:t xml:space="preserve"> of the sunflower family (Asteraceae).</w:t>
      </w:r>
      <w:r w:rsidR="00D76268">
        <w:t xml:space="preserve"> Although the authors conceded </w:t>
      </w:r>
      <w:r w:rsidR="00BB22AC">
        <w:t xml:space="preserve">that </w:t>
      </w:r>
      <w:r w:rsidR="00D76268">
        <w:t>this discovery was quite unexpected</w:t>
      </w:r>
      <w:r w:rsidR="00BB22AC">
        <w:t>,</w:t>
      </w:r>
      <w:r w:rsidR="00D76268">
        <w:t xml:space="preserve"> they stopped short of suggesting a biosynthetic explanation.</w:t>
      </w:r>
      <w:r w:rsidR="009408CE">
        <w:t xml:space="preserve"> The likelihood that </w:t>
      </w:r>
      <w:r w:rsidR="009408CE" w:rsidRPr="009408CE">
        <w:rPr>
          <w:i/>
        </w:rPr>
        <w:t>S. VE2</w:t>
      </w:r>
      <w:r w:rsidR="009408CE">
        <w:t xml:space="preserve"> and Annonaceae would, through convergent evolution, produce the exact same secondary metabolites is </w:t>
      </w:r>
      <w:r w:rsidR="00423FE5">
        <w:t>exceedingly</w:t>
      </w:r>
      <w:r w:rsidR="009408CE">
        <w:t xml:space="preserve"> small. The parsimonious explanation is that ACGs are </w:t>
      </w:r>
      <w:r w:rsidR="004F0782">
        <w:t xml:space="preserve">produced by endophytic </w:t>
      </w:r>
      <w:r w:rsidR="004F0782" w:rsidRPr="004F0782">
        <w:rPr>
          <w:i/>
        </w:rPr>
        <w:t>Streptomyces</w:t>
      </w:r>
      <w:r w:rsidR="004F0782">
        <w:t xml:space="preserve"> </w:t>
      </w:r>
      <w:r w:rsidR="004F0782" w:rsidRPr="004F0782">
        <w:rPr>
          <w:i/>
        </w:rPr>
        <w:t>spp.</w:t>
      </w:r>
      <w:r w:rsidR="00D76268">
        <w:t xml:space="preserve"> in Annonaceae</w:t>
      </w:r>
      <w:r w:rsidR="009408CE">
        <w:t xml:space="preserve">. </w:t>
      </w:r>
    </w:p>
    <w:p w14:paraId="76584F09" w14:textId="77777777" w:rsidR="00215303" w:rsidRDefault="00215303" w:rsidP="004F0782">
      <w:pPr>
        <w:rPr>
          <w:noProof/>
        </w:rPr>
      </w:pPr>
    </w:p>
    <w:p w14:paraId="58145ED3" w14:textId="2396D462" w:rsidR="004F0782" w:rsidRDefault="004F0782" w:rsidP="004F0782">
      <w:r>
        <w:rPr>
          <w:noProof/>
        </w:rPr>
        <w:drawing>
          <wp:inline distT="0" distB="0" distL="0" distR="0" wp14:anchorId="6C5E81C0" wp14:editId="686E9BB5">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607"/>
                    <a:stretch/>
                  </pic:blipFill>
                  <pic:spPr bwMode="auto">
                    <a:xfrm>
                      <a:off x="0" y="0"/>
                      <a:ext cx="5943600" cy="2019300"/>
                    </a:xfrm>
                    <a:prstGeom prst="rect">
                      <a:avLst/>
                    </a:prstGeom>
                    <a:ln>
                      <a:noFill/>
                    </a:ln>
                    <a:extLst>
                      <a:ext uri="{53640926-AAD7-44D8-BBD7-CCE9431645EC}">
                        <a14:shadowObscured xmlns:a14="http://schemas.microsoft.com/office/drawing/2010/main"/>
                      </a:ext>
                    </a:extLst>
                  </pic:spPr>
                </pic:pic>
              </a:graphicData>
            </a:graphic>
          </wp:inline>
        </w:drawing>
      </w:r>
    </w:p>
    <w:p w14:paraId="26F26844" w14:textId="2FB265D9" w:rsidR="00FA311A" w:rsidRPr="005471CF" w:rsidRDefault="00FA311A" w:rsidP="005471CF">
      <w:pPr>
        <w:ind w:left="720"/>
        <w:rPr>
          <w:sz w:val="18"/>
          <w:szCs w:val="18"/>
        </w:rPr>
      </w:pPr>
      <w:r w:rsidRPr="005471CF">
        <w:rPr>
          <w:sz w:val="18"/>
          <w:szCs w:val="18"/>
        </w:rPr>
        <w:lastRenderedPageBreak/>
        <w:t>Figure 2</w:t>
      </w:r>
      <w:r w:rsidR="00FE575E" w:rsidRPr="005471CF">
        <w:rPr>
          <w:sz w:val="18"/>
          <w:szCs w:val="18"/>
        </w:rPr>
        <w:t xml:space="preserve">: </w:t>
      </w:r>
      <w:r w:rsidR="005471CF" w:rsidRPr="005471CF">
        <w:rPr>
          <w:sz w:val="18"/>
          <w:szCs w:val="18"/>
        </w:rPr>
        <w:t>These two ACGs are similar but distinct. Both are of the bis-THF type but have different placement and chirality of hydroxyl  groups.</w:t>
      </w:r>
    </w:p>
    <w:p w14:paraId="3BC35F0B" w14:textId="3190758C" w:rsidR="009B0B0F" w:rsidRDefault="00D76268" w:rsidP="005852FD">
      <w:pPr>
        <w:ind w:firstLine="720"/>
      </w:pPr>
      <w:r w:rsidRPr="00D76268">
        <w:rPr>
          <w:i/>
        </w:rPr>
        <w:t>Streptomyces</w:t>
      </w:r>
      <w:r>
        <w:t xml:space="preserve"> is a “multicellular” bacterial genus typified by its fungal-like growth habit, exhibiting both thread-like mycelia and spores. </w:t>
      </w:r>
      <w:r w:rsidR="00BE405F">
        <w:t xml:space="preserve">The </w:t>
      </w:r>
      <w:r w:rsidR="005C671F">
        <w:t>genus</w:t>
      </w:r>
      <w:r w:rsidR="00BE405F">
        <w:t xml:space="preserve"> is known</w:t>
      </w:r>
      <w:r w:rsidR="005C671F">
        <w:t xml:space="preserve"> </w:t>
      </w:r>
      <w:r w:rsidR="00BB22AC">
        <w:t xml:space="preserve">to </w:t>
      </w:r>
      <w:r w:rsidR="005C671F">
        <w:t>produce an incredible array of natural products both in number and diversity. Many biosynthetic gene clusters in the genus are fully characterized and the biosynthetic pathways fully elucidated</w:t>
      </w:r>
      <w:r w:rsidR="00423FE5">
        <w:t xml:space="preserve"> (DoBISCUIT: </w:t>
      </w:r>
      <w:r w:rsidR="00423FE5" w:rsidRPr="00423FE5">
        <w:t>http://www.bio.nite.go.jp/pks/</w:t>
      </w:r>
      <w:r w:rsidR="00423FE5">
        <w:t>)</w:t>
      </w:r>
      <w:r w:rsidR="005C671F">
        <w:t xml:space="preserve">. </w:t>
      </w:r>
      <w:r w:rsidR="00D74CDC">
        <w:t xml:space="preserve">By structural comparison alone, it can be hypothesized </w:t>
      </w:r>
      <w:r w:rsidR="00BB22AC">
        <w:t xml:space="preserve">that </w:t>
      </w:r>
      <w:r w:rsidR="00D74CDC">
        <w:t>a</w:t>
      </w:r>
      <w:r w:rsidR="005C671F">
        <w:t>cetogenins almost certainly come from the polyketide synthase (PKS) pathway.</w:t>
      </w:r>
    </w:p>
    <w:p w14:paraId="7EE36A89" w14:textId="6B6F62FD" w:rsidR="005471CF" w:rsidRDefault="007E2DCB" w:rsidP="00DF58CC">
      <w:pPr>
        <w:ind w:firstLine="720"/>
      </w:pPr>
      <w:r>
        <w:t>PKSs</w:t>
      </w:r>
      <w:r w:rsidR="00F43760">
        <w:t xml:space="preserve"> are</w:t>
      </w:r>
      <w:r w:rsidR="005C671F">
        <w:t xml:space="preserve"> biochemica</w:t>
      </w:r>
      <w:r w:rsidR="00F43760">
        <w:t>lly and genetically related to f</w:t>
      </w:r>
      <w:r w:rsidR="005C671F">
        <w:t>atty acid synth</w:t>
      </w:r>
      <w:r w:rsidR="00F43760">
        <w:t>ases</w:t>
      </w:r>
      <w:r>
        <w:t xml:space="preserve"> (FAS)</w:t>
      </w:r>
      <w:r w:rsidR="005471CF">
        <w:t xml:space="preserve"> </w:t>
      </w:r>
      <w:r w:rsidR="00964E40">
        <w:t>(Fig. 3)</w:t>
      </w:r>
      <w:r>
        <w:t>. Both PKS and FAS use modular</w:t>
      </w:r>
      <w:r w:rsidR="000D3A98">
        <w:t>,</w:t>
      </w:r>
      <w:r>
        <w:t xml:space="preserve"> assembly</w:t>
      </w:r>
      <w:r w:rsidR="000D3A98">
        <w:t>-line like logic to synthesize products</w:t>
      </w:r>
      <w:r>
        <w:t xml:space="preserve">. </w:t>
      </w:r>
      <w:r w:rsidR="000D3A98">
        <w:t>The natural product is shuffled from one module</w:t>
      </w:r>
      <w:r w:rsidR="00D74CDC">
        <w:t xml:space="preserve"> to the next</w:t>
      </w:r>
      <w:r w:rsidR="00BB22AC">
        <w:t>,</w:t>
      </w:r>
      <w:r w:rsidR="00D74CDC">
        <w:t xml:space="preserve"> adding a C2 malonyl</w:t>
      </w:r>
      <w:r w:rsidR="000D3A98">
        <w:t xml:space="preserve"> unit for each module. Three protein domains are required for minimum module functionality</w:t>
      </w:r>
      <w:r w:rsidR="00BB22AC">
        <w:t>:</w:t>
      </w:r>
      <w:r w:rsidR="000D3A98">
        <w:t xml:space="preserve"> the ketosynthase (KS), acyl-transferase (AT), and</w:t>
      </w:r>
      <w:r w:rsidR="008013E9">
        <w:t xml:space="preserve"> acyl-carrier protein (ACP). Three optional domains reduce</w:t>
      </w:r>
      <w:r w:rsidR="000D3A98">
        <w:t xml:space="preserve"> the lactone of the malonyl extender u</w:t>
      </w:r>
      <w:r w:rsidR="0066362B">
        <w:t xml:space="preserve">nit first </w:t>
      </w:r>
      <w:r w:rsidR="001368D1">
        <w:t xml:space="preserve">to </w:t>
      </w:r>
      <w:r w:rsidR="0066362B">
        <w:t xml:space="preserve">hydroxyl, then enoyl (double C=C bond), and finally the fully reduced alkyl (single C-C bond). </w:t>
      </w:r>
      <w:r w:rsidR="008013E9">
        <w:t>FAS</w:t>
      </w:r>
      <w:r w:rsidR="001368D1">
        <w:t>s</w:t>
      </w:r>
      <w:r w:rsidR="008013E9">
        <w:t xml:space="preserve"> practically always emplo</w:t>
      </w:r>
      <w:r w:rsidR="001368D1">
        <w:t>y</w:t>
      </w:r>
      <w:r w:rsidR="008013E9">
        <w:t xml:space="preserve"> </w:t>
      </w:r>
      <w:r w:rsidR="00BE405F">
        <w:t>all</w:t>
      </w:r>
      <w:r w:rsidR="008013E9">
        <w:t xml:space="preserve"> three reducing domains to yield a non-functionalized carbon chain</w:t>
      </w:r>
      <w:r w:rsidR="001368D1">
        <w:t xml:space="preserve">. </w:t>
      </w:r>
      <w:r w:rsidR="008013E9">
        <w:t>PKSs have lost some domains in select modules</w:t>
      </w:r>
      <w:r w:rsidR="001368D1">
        <w:t>,</w:t>
      </w:r>
      <w:r w:rsidR="008013E9">
        <w:t xml:space="preserve"> producing </w:t>
      </w:r>
      <w:r w:rsidR="001368D1">
        <w:t xml:space="preserve">a </w:t>
      </w:r>
      <w:r w:rsidR="008013E9">
        <w:t>vast diversity</w:t>
      </w:r>
      <w:r w:rsidR="001368D1">
        <w:t xml:space="preserve"> of</w:t>
      </w:r>
      <w:r w:rsidR="00BE405F">
        <w:t xml:space="preserve"> carbon skeletons with</w:t>
      </w:r>
      <w:r w:rsidR="008013E9">
        <w:t xml:space="preserve"> different combinations of functional groups</w:t>
      </w:r>
      <w:r w:rsidR="00BE405F">
        <w:t xml:space="preserve"> (lactone, hydroxyl, enoyl, and alkyl)</w:t>
      </w:r>
      <w:r w:rsidR="007D1122">
        <w:t xml:space="preserve"> (Figure 3: B, C)</w:t>
      </w:r>
      <w:r w:rsidR="008013E9">
        <w:t>. Generally</w:t>
      </w:r>
      <w:r w:rsidR="001368D1">
        <w:t>,</w:t>
      </w:r>
      <w:r w:rsidR="008013E9">
        <w:t xml:space="preserve"> a single PKS gene cluster yields one or a few ve</w:t>
      </w:r>
      <w:r w:rsidR="00F87FF1">
        <w:t>ry closely related compounds</w:t>
      </w:r>
      <w:r w:rsidR="001368D1">
        <w:t>.</w:t>
      </w:r>
      <w:r w:rsidR="00F87FF1">
        <w:t xml:space="preserve"> </w:t>
      </w:r>
      <w:r w:rsidR="001368D1">
        <w:t>B</w:t>
      </w:r>
      <w:r w:rsidR="008013E9">
        <w:t>acterial genomes, in particular</w:t>
      </w:r>
      <w:r w:rsidR="008013E9">
        <w:rPr>
          <w:i/>
        </w:rPr>
        <w:t xml:space="preserve"> S</w:t>
      </w:r>
      <w:r w:rsidR="008013E9" w:rsidRPr="008013E9">
        <w:rPr>
          <w:i/>
        </w:rPr>
        <w:t>treptomyces</w:t>
      </w:r>
      <w:r w:rsidR="008013E9">
        <w:t>, may have dozens of polyketide BGCs</w:t>
      </w:r>
      <w:r w:rsidR="00BE405F">
        <w:t xml:space="preserve"> taking up a</w:t>
      </w:r>
      <w:r w:rsidR="008013E9">
        <w:t xml:space="preserve"> significant portion of the genome</w:t>
      </w:r>
      <w:r w:rsidR="001368D1">
        <w:t xml:space="preserve"> (</w:t>
      </w:r>
      <w:r w:rsidR="00423FE5" w:rsidRPr="00423FE5">
        <w:t>Komaki</w:t>
      </w:r>
      <w:r w:rsidR="00423FE5">
        <w:t xml:space="preserve"> et al, 2018</w:t>
      </w:r>
      <w:r w:rsidR="001368D1">
        <w:t>)</w:t>
      </w:r>
      <w:r w:rsidR="008013E9">
        <w:t>.</w:t>
      </w:r>
      <w:r w:rsidR="00530BFC">
        <w:t xml:space="preserve"> </w:t>
      </w:r>
      <w:r w:rsidR="001368D1">
        <w:t xml:space="preserve">Type I modular PKSs are responsible for long unbranching polyketides. Type </w:t>
      </w:r>
      <w:r w:rsidR="00530BFC">
        <w:t>I</w:t>
      </w:r>
      <w:r w:rsidR="001368D1">
        <w:t xml:space="preserve">I iterative PKSs are responsible for polycyclic and aromatic metabolites, </w:t>
      </w:r>
      <w:r w:rsidR="00530BFC">
        <w:t xml:space="preserve">and </w:t>
      </w:r>
      <w:r w:rsidR="001368D1">
        <w:t xml:space="preserve">type III PKSs are responsible for small molecules with diverse architectures. Acetogenins most closely resemble known </w:t>
      </w:r>
      <w:r w:rsidR="001368D1" w:rsidRPr="009E6EEA">
        <w:rPr>
          <w:i/>
        </w:rPr>
        <w:t>Streptomyces</w:t>
      </w:r>
      <w:r w:rsidR="001368D1">
        <w:t xml:space="preserve"> compounds synthesized by </w:t>
      </w:r>
      <w:r w:rsidR="00530BFC">
        <w:t>T</w:t>
      </w:r>
      <w:r w:rsidR="001368D1">
        <w:t>ype I modular PKSs.</w:t>
      </w:r>
      <w:r w:rsidR="001368D1">
        <w:t xml:space="preserve"> </w:t>
      </w:r>
      <w:r w:rsidR="00BE405F">
        <w:t xml:space="preserve">Although the differences in Type I, II, and III PKSs are biochemically, evolutionarily, and genetically </w:t>
      </w:r>
      <w:r w:rsidR="00530BFC">
        <w:t>nuanced</w:t>
      </w:r>
      <w:r w:rsidR="00BE405F">
        <w:t xml:space="preserve">, such an overview will be left to other publications </w:t>
      </w:r>
      <w:r w:rsidR="001368D1">
        <w:t>to</w:t>
      </w:r>
      <w:r w:rsidR="00BE405F">
        <w:t xml:space="preserve"> more sufficiently address this</w:t>
      </w:r>
      <w:r w:rsidR="00F87FF1">
        <w:t xml:space="preserve"> complex</w:t>
      </w:r>
      <w:r w:rsidR="00BE405F">
        <w:t xml:space="preserve"> issue</w:t>
      </w:r>
      <w:r w:rsidR="0034747C">
        <w:t xml:space="preserve"> (</w:t>
      </w:r>
      <w:r w:rsidR="0034747C" w:rsidRPr="0034747C">
        <w:t>Hertweck</w:t>
      </w:r>
      <w:r w:rsidR="0034747C">
        <w:t>, 2009)</w:t>
      </w:r>
      <w:r w:rsidR="00BE405F">
        <w:t>. For the purposes of this proposal</w:t>
      </w:r>
      <w:r w:rsidR="001368D1">
        <w:t>,</w:t>
      </w:r>
      <w:r w:rsidR="00BE405F">
        <w:t xml:space="preserve"> it is only necessary to understand that</w:t>
      </w:r>
      <w:r w:rsidR="001503E3">
        <w:t xml:space="preserve"> by looking at the final natural product</w:t>
      </w:r>
      <w:r w:rsidR="00BE405F">
        <w:t>, it is possible to assume</w:t>
      </w:r>
      <w:r w:rsidR="00F87FF1">
        <w:t xml:space="preserve"> with some certainty</w:t>
      </w:r>
      <w:r w:rsidR="00BE405F">
        <w:t xml:space="preserve"> the PKS type from which it came</w:t>
      </w:r>
      <w:r w:rsidR="00505AE6">
        <w:t xml:space="preserve"> (Figure 3: A)</w:t>
      </w:r>
      <w:r w:rsidR="00BE405F">
        <w:t xml:space="preserve">. </w:t>
      </w:r>
    </w:p>
    <w:p w14:paraId="724218AA" w14:textId="77777777" w:rsidR="00964E40" w:rsidRDefault="005471CF" w:rsidP="005471CF">
      <w:pPr>
        <w:ind w:left="-720" w:firstLine="720"/>
      </w:pPr>
      <w:r>
        <w:rPr>
          <w:noProof/>
        </w:rPr>
        <w:lastRenderedPageBreak/>
        <w:drawing>
          <wp:inline distT="0" distB="0" distL="0" distR="0" wp14:anchorId="473ACC94" wp14:editId="07FD2EEB">
            <wp:extent cx="5943600" cy="6934200"/>
            <wp:effectExtent l="0" t="0" r="0" b="0"/>
            <wp:docPr id="3" name="Picture 3" descr="FIG. 1.âSchematic representation of fatty acid and polyketide biosynthesis. (A) Organization types of FAS and PKS. Distinct proteins are indicated as squares and domains integrated within proteins as circles, respectively. Optional domains of PKS I are designated. Enzymes additionally required for the synthesis of the respective end products are not shown. Example structures are provided next to each scheme. The roman numbers in brackets recur in the phylogenetic tree shown in figure 2. (B) Sequence of reactions performed by FAS and PKS. (C) Possibilities that follow each condensation step to give keto, hydroxyl, enoyl, or alkyl functionality, depending on the enyzmatic activities used by a PKS module. Abbreviations: KS, ketosynthase; AT, acyltransferase; DH, dehydratase; ER, enoyl reductase; KR, ketoreductase; ACP, acyl carrier protein; AcT, acetyltransferase; PPT, phosphopantetheinyl transf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âSchematic representation of fatty acid and polyketide biosynthesis. (A) Organization types of FAS and PKS. Distinct proteins are indicated as squares and domains integrated within proteins as circles, respectively. Optional domains of PKS I are designated. Enzymes additionally required for the synthesis of the respective end products are not shown. Example structures are provided next to each scheme. The roman numbers in brackets recur in the phylogenetic tree shown in figure 2. (B) Sequence of reactions performed by FAS and PKS. (C) Possibilities that follow each condensation step to give keto, hydroxyl, enoyl, or alkyl functionality, depending on the enyzmatic activities used by a PKS module. Abbreviations: KS, ketosynthase; AT, acyltransferase; DH, dehydratase; ER, enoyl reductase; KR, ketoreductase; ACP, acyl carrier protein; AcT, acetyltransferase; PPT, phosphopantetheinyl transfer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34200"/>
                    </a:xfrm>
                    <a:prstGeom prst="rect">
                      <a:avLst/>
                    </a:prstGeom>
                    <a:noFill/>
                    <a:ln>
                      <a:noFill/>
                    </a:ln>
                  </pic:spPr>
                </pic:pic>
              </a:graphicData>
            </a:graphic>
          </wp:inline>
        </w:drawing>
      </w:r>
    </w:p>
    <w:p w14:paraId="0FEA2F73" w14:textId="090A29D6" w:rsidR="005C671F" w:rsidRPr="00964E40" w:rsidRDefault="00964E40" w:rsidP="00964E40">
      <w:pPr>
        <w:ind w:left="720"/>
        <w:rPr>
          <w:sz w:val="18"/>
          <w:szCs w:val="18"/>
        </w:rPr>
      </w:pPr>
      <w:r w:rsidRPr="00964E40">
        <w:rPr>
          <w:sz w:val="18"/>
          <w:szCs w:val="18"/>
        </w:rPr>
        <w:t>Fig. 3: A)</w:t>
      </w:r>
      <w:r w:rsidR="00093472">
        <w:rPr>
          <w:sz w:val="18"/>
          <w:szCs w:val="18"/>
        </w:rPr>
        <w:t xml:space="preserve"> </w:t>
      </w:r>
      <w:r w:rsidRPr="00964E40">
        <w:rPr>
          <w:sz w:val="18"/>
          <w:szCs w:val="18"/>
        </w:rPr>
        <w:t xml:space="preserve">examples of products produced by certain PKS/FAS types. B) Assembly-line like logic of PKS/FASs. C) </w:t>
      </w:r>
      <w:r w:rsidR="00D23E33">
        <w:rPr>
          <w:sz w:val="18"/>
          <w:szCs w:val="18"/>
        </w:rPr>
        <w:t>explanation of</w:t>
      </w:r>
      <w:r w:rsidRPr="00964E40">
        <w:rPr>
          <w:sz w:val="18"/>
          <w:szCs w:val="18"/>
        </w:rPr>
        <w:t xml:space="preserve"> how presence/absence of reducing domains in a module alters product</w:t>
      </w:r>
      <w:r w:rsidR="00AE72A9">
        <w:rPr>
          <w:sz w:val="18"/>
          <w:szCs w:val="18"/>
        </w:rPr>
        <w:t>. (Jenke-Kodama et al 2005)</w:t>
      </w:r>
    </w:p>
    <w:p w14:paraId="4ABA6FD7" w14:textId="2A4781D1" w:rsidR="000324CB" w:rsidRPr="00FA311A" w:rsidRDefault="00D74CDC" w:rsidP="00AE72A9">
      <w:r>
        <w:t xml:space="preserve">Bacterial </w:t>
      </w:r>
      <w:r w:rsidR="005E1B3E">
        <w:t>T</w:t>
      </w:r>
      <w:r w:rsidR="000324CB">
        <w:t>ype I modular PKS</w:t>
      </w:r>
      <w:r>
        <w:t>s</w:t>
      </w:r>
      <w:r w:rsidR="005E1B3E">
        <w:t xml:space="preserve">, similar to </w:t>
      </w:r>
      <w:r w:rsidR="005471CF">
        <w:t>Animal</w:t>
      </w:r>
      <w:r w:rsidR="000324CB">
        <w:t xml:space="preserve"> </w:t>
      </w:r>
      <w:r w:rsidR="005E1B3E">
        <w:t>T</w:t>
      </w:r>
      <w:r w:rsidR="005471CF">
        <w:t xml:space="preserve">ype </w:t>
      </w:r>
      <w:r w:rsidR="000324CB">
        <w:t>I FAS</w:t>
      </w:r>
      <w:r>
        <w:t>s</w:t>
      </w:r>
      <w:r w:rsidR="005E1B3E">
        <w:t>,</w:t>
      </w:r>
      <w:r w:rsidR="000324CB">
        <w:t xml:space="preserve"> are </w:t>
      </w:r>
      <w:r>
        <w:t xml:space="preserve">encoded by one or </w:t>
      </w:r>
      <w:r w:rsidR="000324CB">
        <w:t>a handful of very long open reading frames</w:t>
      </w:r>
      <w:r>
        <w:t xml:space="preserve"> (ORFs)</w:t>
      </w:r>
      <w:r w:rsidR="000324CB">
        <w:t xml:space="preserve">, </w:t>
      </w:r>
      <w:r>
        <w:t>with each</w:t>
      </w:r>
      <w:r w:rsidR="000324CB">
        <w:t xml:space="preserve"> module</w:t>
      </w:r>
      <w:r>
        <w:t xml:space="preserve"> responsible for the addition of </w:t>
      </w:r>
      <w:r w:rsidR="000324CB">
        <w:t>every two carbons found in the backbone of the product.</w:t>
      </w:r>
      <w:r>
        <w:t xml:space="preserve"> Because ACGs have </w:t>
      </w:r>
      <w:r w:rsidR="00F87FF1">
        <w:t>32 or 34 but never 33 carbons</w:t>
      </w:r>
      <w:r w:rsidR="003A0F93">
        <w:t xml:space="preserve"> in the </w:t>
      </w:r>
      <w:r w:rsidR="003A0F93" w:rsidRPr="00FA311A">
        <w:lastRenderedPageBreak/>
        <w:t>backbone</w:t>
      </w:r>
      <w:r w:rsidR="005E1B3E" w:rsidRPr="00FA311A">
        <w:t>,</w:t>
      </w:r>
      <w:r w:rsidR="001503E3" w:rsidRPr="00FA311A">
        <w:t xml:space="preserve"> this is often cited</w:t>
      </w:r>
      <w:r w:rsidR="00F87FF1" w:rsidRPr="00FA311A">
        <w:t xml:space="preserve"> as evidence that a single C-2 monomer separates the two, a feature </w:t>
      </w:r>
      <w:r w:rsidR="003A0F93" w:rsidRPr="00FA311A">
        <w:t>prominent among PKSs.</w:t>
      </w:r>
    </w:p>
    <w:p w14:paraId="39BF3D89" w14:textId="144BE69A" w:rsidR="009E6A2B" w:rsidRDefault="003A0F93" w:rsidP="003A0F93">
      <w:pPr>
        <w:ind w:firstLine="720"/>
      </w:pPr>
      <w:r w:rsidRPr="009E6EEA">
        <w:rPr>
          <w:i/>
        </w:rPr>
        <w:t>Streptomyces</w:t>
      </w:r>
      <w:r w:rsidRPr="00FA311A">
        <w:t xml:space="preserve"> PKSs are known to produce THF rings </w:t>
      </w:r>
      <w:r w:rsidR="005F42E4" w:rsidRPr="00FA311A">
        <w:t>similar to</w:t>
      </w:r>
      <w:r w:rsidRPr="00FA311A">
        <w:t xml:space="preserve"> those found in ACGs. In monensin</w:t>
      </w:r>
      <w:r w:rsidR="005F42E4" w:rsidRPr="00FA311A">
        <w:t xml:space="preserve"> biosynthesis,</w:t>
      </w:r>
      <w:r w:rsidRPr="00FA311A">
        <w:t xml:space="preserve"> THF</w:t>
      </w:r>
      <w:r>
        <w:t xml:space="preserve"> ring formation is accomplished by epoxidation of adjacent C=C double bonds</w:t>
      </w:r>
      <w:r w:rsidR="005F42E4">
        <w:t>,</w:t>
      </w:r>
      <w:r>
        <w:t xml:space="preserve"> followed by domino ring opening (Gallimore</w:t>
      </w:r>
      <w:r w:rsidR="005A66D0">
        <w:t>, 2009</w:t>
      </w:r>
      <w:r>
        <w:t>).</w:t>
      </w:r>
      <w:r w:rsidR="009E6A2B">
        <w:t xml:space="preserve"> A careful stereochemical analysis performed by Andrew Gallimore showed that ACGs are formed by this monensin-type THF ring formation. </w:t>
      </w:r>
      <w:r w:rsidR="005A66D0">
        <w:t>However, t</w:t>
      </w:r>
      <w:r w:rsidR="009E6A2B">
        <w:t xml:space="preserve">he enzymes that are responsible for these post-PKS modifications are ubiquitous in </w:t>
      </w:r>
      <w:r w:rsidR="009E6A2B" w:rsidRPr="009E6EEA">
        <w:rPr>
          <w:i/>
        </w:rPr>
        <w:t>Streptomyces</w:t>
      </w:r>
      <w:r w:rsidR="009E6A2B">
        <w:t xml:space="preserve"> and do not represent a good target for elucidating ACG biosynthesis. </w:t>
      </w:r>
    </w:p>
    <w:p w14:paraId="66F65347" w14:textId="2C05B518" w:rsidR="003D341D" w:rsidRPr="003D341D" w:rsidRDefault="009E6A2B" w:rsidP="003D341D">
      <w:pPr>
        <w:ind w:firstLine="720"/>
      </w:pPr>
      <w:r>
        <w:t>The other chemical motif of ACGs,</w:t>
      </w:r>
      <w:r w:rsidR="000427F4">
        <w:t xml:space="preserve"> the</w:t>
      </w:r>
      <w:r>
        <w:t xml:space="preserve"> terminal gamma-lactone</w:t>
      </w:r>
      <w:r w:rsidR="000427F4">
        <w:t>, is similar to that</w:t>
      </w:r>
      <w:r>
        <w:t xml:space="preserve"> found in several </w:t>
      </w:r>
      <w:r w:rsidRPr="009E6EEA">
        <w:rPr>
          <w:i/>
        </w:rPr>
        <w:t>Streptomyces</w:t>
      </w:r>
      <w:r>
        <w:t xml:space="preserve"> natural product</w:t>
      </w:r>
      <w:r w:rsidR="003D341D">
        <w:t xml:space="preserve"> classes</w:t>
      </w:r>
      <w:r>
        <w:t>. Chief among these are the ‘bacterial hormones’: A-factor-like autoregulators</w:t>
      </w:r>
      <w:r w:rsidR="003D341D">
        <w:t xml:space="preserve"> and the tetronates</w:t>
      </w:r>
      <w:r>
        <w:t xml:space="preserve">. </w:t>
      </w:r>
      <w:r w:rsidR="003D341D">
        <w:t xml:space="preserve">The latter is biosynthesized by </w:t>
      </w:r>
      <w:r w:rsidR="00DF58CC">
        <w:t>four</w:t>
      </w:r>
      <w:r w:rsidR="00AA1FEE">
        <w:t xml:space="preserve"> </w:t>
      </w:r>
      <w:r w:rsidR="003D341D">
        <w:t>genes in a conserved “glycerate utilization operon”</w:t>
      </w:r>
      <w:r w:rsidR="00AA1FEE">
        <w:t xml:space="preserve"> </w:t>
      </w:r>
      <w:r w:rsidR="000427F4">
        <w:t>(</w:t>
      </w:r>
      <w:r w:rsidR="000427F4" w:rsidRPr="000427F4">
        <w:t>Vieweg</w:t>
      </w:r>
      <w:r w:rsidR="000427F4">
        <w:t xml:space="preserve"> et al, 2014) </w:t>
      </w:r>
      <w:r w:rsidR="00AA1FEE">
        <w:t xml:space="preserve">which act as post-PKS modification enzymes to generate the </w:t>
      </w:r>
      <w:r w:rsidR="009E6EEA">
        <w:t>TBL</w:t>
      </w:r>
      <w:r w:rsidR="003D341D">
        <w:t xml:space="preserve">. Tetronate biosynthesis was not pursued as a target </w:t>
      </w:r>
      <w:r w:rsidR="00AA1FEE">
        <w:t>in this proposal</w:t>
      </w:r>
      <w:r w:rsidR="00DF58CC">
        <w:t>,</w:t>
      </w:r>
      <w:r w:rsidR="00AA1FEE">
        <w:t xml:space="preserve"> </w:t>
      </w:r>
      <w:r w:rsidR="003D341D">
        <w:t>due to difficulty in curating the operon</w:t>
      </w:r>
      <w:r w:rsidR="008E600C">
        <w:t xml:space="preserve"> sequences</w:t>
      </w:r>
      <w:r w:rsidR="003D341D">
        <w:t xml:space="preserve"> across multiple species of </w:t>
      </w:r>
      <w:r w:rsidR="003D341D" w:rsidRPr="003D341D">
        <w:rPr>
          <w:i/>
        </w:rPr>
        <w:t>Streptomyces</w:t>
      </w:r>
      <w:r w:rsidR="003D341D">
        <w:t xml:space="preserve"> (see Discussion).</w:t>
      </w:r>
    </w:p>
    <w:p w14:paraId="6C150927" w14:textId="5DF0F849" w:rsidR="003A0F93" w:rsidRDefault="003D341D" w:rsidP="003A0F93">
      <w:pPr>
        <w:ind w:firstLine="720"/>
      </w:pPr>
      <w:r>
        <w:t>A-factor-like</w:t>
      </w:r>
      <w:r w:rsidR="009E6A2B">
        <w:t xml:space="preserve"> compounds act as </w:t>
      </w:r>
      <w:r w:rsidR="00CD69BC">
        <w:t>regulators of secondary metabolite synthesis, pigment synthesis, and spore formation (</w:t>
      </w:r>
      <w:r w:rsidR="0063339E">
        <w:t>Du et al, 2011</w:t>
      </w:r>
      <w:r w:rsidR="00CD69BC">
        <w:t>). The cor</w:t>
      </w:r>
      <w:r>
        <w:t xml:space="preserve">e gene in A-factor synthesis, </w:t>
      </w:r>
      <w:r w:rsidR="00CD69BC">
        <w:t>AfsA</w:t>
      </w:r>
      <w:r>
        <w:t xml:space="preserve">, is </w:t>
      </w:r>
      <w:r w:rsidR="0063339E">
        <w:t xml:space="preserve">solely </w:t>
      </w:r>
      <w:r>
        <w:t>responsible for the lactone ring formation</w:t>
      </w:r>
      <w:r w:rsidR="0063339E">
        <w:t xml:space="preserve"> (</w:t>
      </w:r>
      <w:r w:rsidR="00FA311A" w:rsidRPr="00FA311A">
        <w:t>Nishida</w:t>
      </w:r>
      <w:r w:rsidR="00FA311A">
        <w:t xml:space="preserve"> et al, 2007</w:t>
      </w:r>
      <w:r w:rsidR="0063339E">
        <w:t>)</w:t>
      </w:r>
      <w:r>
        <w:t>. SRB1 and SRB2</w:t>
      </w:r>
      <w:r w:rsidR="00AA1FEE">
        <w:t xml:space="preserve"> </w:t>
      </w:r>
      <w:r w:rsidR="00FA311A">
        <w:t xml:space="preserve">(Figure 3) </w:t>
      </w:r>
      <w:r w:rsidR="00AA1FEE">
        <w:t>are</w:t>
      </w:r>
      <w:r>
        <w:t xml:space="preserve"> two autoregulators isolated from </w:t>
      </w:r>
      <w:r>
        <w:rPr>
          <w:i/>
        </w:rPr>
        <w:t>S. rochei</w:t>
      </w:r>
      <w:r w:rsidR="00DF58CC">
        <w:rPr>
          <w:i/>
        </w:rPr>
        <w:t>,</w:t>
      </w:r>
      <w:r w:rsidRPr="003D341D">
        <w:t xml:space="preserve"> </w:t>
      </w:r>
      <w:r w:rsidR="00AA1FEE">
        <w:t xml:space="preserve">which </w:t>
      </w:r>
      <w:r w:rsidRPr="003D341D">
        <w:t>most</w:t>
      </w:r>
      <w:r>
        <w:t xml:space="preserve"> closely resemble the </w:t>
      </w:r>
      <w:r w:rsidR="009E6EEA">
        <w:t>TBL</w:t>
      </w:r>
      <w:r>
        <w:t xml:space="preserve"> of ACGs</w:t>
      </w:r>
      <w:r w:rsidR="00FA311A">
        <w:t xml:space="preserve"> (</w:t>
      </w:r>
      <w:r w:rsidR="00FA311A" w:rsidRPr="00FA311A">
        <w:t>Arakawa</w:t>
      </w:r>
      <w:r w:rsidR="00FA311A">
        <w:t xml:space="preserve"> et al, 2012)</w:t>
      </w:r>
      <w:r>
        <w:t xml:space="preserve">. Based on 16sRNA phylogenies, </w:t>
      </w:r>
      <w:r>
        <w:rPr>
          <w:i/>
        </w:rPr>
        <w:t xml:space="preserve">S. rochei </w:t>
      </w:r>
      <w:r>
        <w:t xml:space="preserve">and </w:t>
      </w:r>
      <w:r>
        <w:rPr>
          <w:i/>
        </w:rPr>
        <w:t>S. maritimus</w:t>
      </w:r>
      <w:r>
        <w:t xml:space="preserve"> are the two most closely related species to </w:t>
      </w:r>
      <w:r>
        <w:rPr>
          <w:i/>
        </w:rPr>
        <w:t>S. VE2</w:t>
      </w:r>
      <w:r w:rsidR="00FA311A">
        <w:t xml:space="preserve"> (Taechowisan, 2016</w:t>
      </w:r>
      <w:r>
        <w:t xml:space="preserve">).  </w:t>
      </w:r>
      <w:r w:rsidR="00AA1FEE">
        <w:t xml:space="preserve">Additionally, </w:t>
      </w:r>
      <w:r w:rsidR="00DF58CC">
        <w:t>A</w:t>
      </w:r>
      <w:r w:rsidR="00AA1FEE">
        <w:t xml:space="preserve">fsA homologues have been found to be very near or within </w:t>
      </w:r>
      <w:r w:rsidR="00AA1FEE" w:rsidRPr="00AA1FEE">
        <w:rPr>
          <w:i/>
        </w:rPr>
        <w:t>Streptomyces</w:t>
      </w:r>
      <w:r w:rsidR="00AA1FEE">
        <w:t xml:space="preserve"> PKS BGCs (AntiSMASH data not shown), multi-copy genes, and </w:t>
      </w:r>
      <w:r w:rsidR="00FA311A">
        <w:t xml:space="preserve">present </w:t>
      </w:r>
      <w:r w:rsidR="00AA1FEE">
        <w:t>in some plasmids (</w:t>
      </w:r>
      <w:r w:rsidR="00FB13CA">
        <w:t>Mochizuki, 2003</w:t>
      </w:r>
      <w:r w:rsidR="00AA1FEE">
        <w:t xml:space="preserve">). </w:t>
      </w:r>
      <w:r w:rsidR="00DF58CC">
        <w:t>A</w:t>
      </w:r>
      <w:r w:rsidR="00AA1FEE">
        <w:t>fsA homolog enzymes catalyze the reaction between a</w:t>
      </w:r>
      <w:r w:rsidR="00E373A0">
        <w:t>n unincorporated</w:t>
      </w:r>
      <w:r w:rsidR="00AA1FEE">
        <w:t xml:space="preserve"> </w:t>
      </w:r>
      <w:r w:rsidR="00E373A0">
        <w:t>ACP or CoA bound diketone fatty acid</w:t>
      </w:r>
      <w:r w:rsidR="00DF58CC">
        <w:t>,</w:t>
      </w:r>
      <w:r w:rsidR="00FB13CA">
        <w:t xml:space="preserve"> and a (DHAP; dihydroxy acetone phosphate</w:t>
      </w:r>
      <w:r w:rsidR="00E373A0">
        <w:t>) releasing the product from ACP or CoA</w:t>
      </w:r>
      <w:r w:rsidR="00FB13CA">
        <w:t xml:space="preserve"> (</w:t>
      </w:r>
      <w:r w:rsidR="008E600C">
        <w:t>. B</w:t>
      </w:r>
      <w:r w:rsidR="00E373A0">
        <w:t xml:space="preserve">oth tetronate and </w:t>
      </w:r>
      <w:r w:rsidR="008E600C">
        <w:t xml:space="preserve">AfsA biosynthesis share </w:t>
      </w:r>
      <w:r w:rsidR="00E373A0">
        <w:t>similar reactants through convergent evolution.</w:t>
      </w:r>
      <w:r w:rsidR="008E600C">
        <w:t xml:space="preserve"> </w:t>
      </w:r>
    </w:p>
    <w:p w14:paraId="76AC5819" w14:textId="34309AAE" w:rsidR="00FA311A" w:rsidRDefault="00FA311A" w:rsidP="003A0F93">
      <w:pPr>
        <w:ind w:firstLine="720"/>
      </w:pPr>
      <w:r>
        <w:rPr>
          <w:noProof/>
        </w:rPr>
        <w:lastRenderedPageBreak/>
        <w:drawing>
          <wp:inline distT="0" distB="0" distL="0" distR="0" wp14:anchorId="47AAE558" wp14:editId="022D3C89">
            <wp:extent cx="4953000" cy="4184650"/>
            <wp:effectExtent l="0" t="0" r="0" b="6350"/>
            <wp:docPr id="4" name="Picture 3" descr="Image result for Î³-butenolide streptomyces marit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result for Î³-butenolide streptomyces maritim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4184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C7805E6" w14:textId="718C3658" w:rsidR="00FA311A" w:rsidRPr="00FE575E" w:rsidRDefault="005471CF" w:rsidP="00FE575E">
      <w:pPr>
        <w:ind w:left="720"/>
        <w:rPr>
          <w:sz w:val="18"/>
          <w:szCs w:val="18"/>
        </w:rPr>
      </w:pPr>
      <w:r>
        <w:rPr>
          <w:sz w:val="18"/>
          <w:szCs w:val="18"/>
        </w:rPr>
        <w:t>Figure 4</w:t>
      </w:r>
      <w:r w:rsidR="00FE575E" w:rsidRPr="00FE575E">
        <w:rPr>
          <w:sz w:val="18"/>
          <w:szCs w:val="18"/>
        </w:rPr>
        <w:t xml:space="preserve">: Diversity of </w:t>
      </w:r>
      <w:r w:rsidR="00FE575E" w:rsidRPr="00FE575E">
        <w:rPr>
          <w:i/>
          <w:sz w:val="18"/>
          <w:szCs w:val="18"/>
        </w:rPr>
        <w:t>Streptomyces</w:t>
      </w:r>
      <w:r w:rsidR="00FE575E" w:rsidRPr="00FE575E">
        <w:rPr>
          <w:sz w:val="18"/>
          <w:szCs w:val="18"/>
        </w:rPr>
        <w:t xml:space="preserve"> hormones (Niu et al, 2016). Notice the similarity in terminal lactone between ACGs and SRB1/2. </w:t>
      </w:r>
      <w:r w:rsidR="00FE575E" w:rsidRPr="00FE575E">
        <w:rPr>
          <w:i/>
          <w:sz w:val="18"/>
          <w:szCs w:val="18"/>
        </w:rPr>
        <w:t>S. rochei</w:t>
      </w:r>
      <w:r w:rsidR="00FE575E" w:rsidRPr="00FE575E">
        <w:rPr>
          <w:sz w:val="18"/>
          <w:szCs w:val="18"/>
        </w:rPr>
        <w:t xml:space="preserve"> is closely related to the ACG producing </w:t>
      </w:r>
      <w:r w:rsidR="00FE575E" w:rsidRPr="00FE575E">
        <w:rPr>
          <w:i/>
          <w:sz w:val="18"/>
          <w:szCs w:val="18"/>
        </w:rPr>
        <w:t>S. sp. VE2</w:t>
      </w:r>
      <w:r w:rsidR="00FE575E" w:rsidRPr="00FE575E">
        <w:rPr>
          <w:sz w:val="18"/>
          <w:szCs w:val="18"/>
        </w:rPr>
        <w:t>.</w:t>
      </w:r>
      <w:r w:rsidR="00E36C0E">
        <w:rPr>
          <w:sz w:val="18"/>
          <w:szCs w:val="18"/>
        </w:rPr>
        <w:t xml:space="preserve"> The butyrolactones, furans, and SRB1/2 all come from AfsA homologues</w:t>
      </w:r>
    </w:p>
    <w:p w14:paraId="0D01CB2E" w14:textId="0CF55C8D" w:rsidR="008E600C" w:rsidRDefault="008E600C" w:rsidP="003A0F93">
      <w:pPr>
        <w:ind w:firstLine="720"/>
      </w:pPr>
      <w:r>
        <w:t>Ultimately AfsA homologues were chosen as a target for potential ACG biosynthesis</w:t>
      </w:r>
      <w:r w:rsidR="006F0605">
        <w:t xml:space="preserve">. </w:t>
      </w:r>
      <w:r>
        <w:t xml:space="preserve">AfsA homologues alone cannot </w:t>
      </w:r>
      <w:r w:rsidR="00326F99">
        <w:t>account for ACG biosynthesis. I</w:t>
      </w:r>
      <w:r>
        <w:t>nstead</w:t>
      </w:r>
      <w:r w:rsidR="00DF58CC">
        <w:t>,</w:t>
      </w:r>
      <w:r>
        <w:t xml:space="preserve"> incorporation of AfsA into a PKS would predict both ring formation and release from the PKS megasynthase. Normally, a thioesterase domain found at the C-terminal of the megasynthase would release the immature polyketide by reaction with water or </w:t>
      </w:r>
      <w:r w:rsidR="00B01170">
        <w:t xml:space="preserve">by </w:t>
      </w:r>
      <w:r>
        <w:t>distal portion of the polyketide forming a macrolide, as found in many antibiotics</w:t>
      </w:r>
      <w:r w:rsidR="00467514">
        <w:t>. Searching for examples of PKS/AfsA hybrid proteins, both pfam and InterPro report</w:t>
      </w:r>
      <w:r w:rsidR="00B01170">
        <w:t xml:space="preserve"> examples of</w:t>
      </w:r>
      <w:r w:rsidR="00467514">
        <w:t xml:space="preserve"> AfsA genes fused with Type I and III PKSs from gamma proteobacteria and </w:t>
      </w:r>
      <w:r w:rsidR="00F42CFB">
        <w:t>cyanobacteria. T</w:t>
      </w:r>
      <w:r w:rsidR="00E2609A">
        <w:t>hese proteins are uncharacterized so it is unknown what the products of these hybrid synthases would be.</w:t>
      </w:r>
      <w:r w:rsidR="00467514">
        <w:t xml:space="preserve"> It is not clear </w:t>
      </w:r>
      <w:r w:rsidR="00E2609A">
        <w:t xml:space="preserve">what </w:t>
      </w:r>
      <w:r w:rsidR="00467514">
        <w:t xml:space="preserve">the </w:t>
      </w:r>
      <w:r w:rsidR="00E2609A">
        <w:t xml:space="preserve">evolutionary </w:t>
      </w:r>
      <w:r w:rsidR="00467514">
        <w:t>relationship</w:t>
      </w:r>
      <w:r w:rsidR="00E2609A">
        <w:t>s</w:t>
      </w:r>
      <w:r w:rsidR="00467514">
        <w:t xml:space="preserve"> between these proteins are</w:t>
      </w:r>
      <w:r w:rsidR="00B01170">
        <w:t xml:space="preserve">, whether </w:t>
      </w:r>
      <w:r w:rsidR="00467514">
        <w:t>common ancient gene fusion, HGT</w:t>
      </w:r>
      <w:r w:rsidR="00F42CFB">
        <w:t xml:space="preserve"> of recent gene fusion</w:t>
      </w:r>
      <w:r w:rsidR="00467514">
        <w:t>, or convergent evolution</w:t>
      </w:r>
      <w:r w:rsidR="00F42CFB">
        <w:t xml:space="preserve"> of many independent gene fusion events</w:t>
      </w:r>
      <w:r w:rsidR="00D04B02">
        <w:t xml:space="preserve"> (see Discussion)</w:t>
      </w:r>
      <w:r w:rsidR="00467514">
        <w:t>. It is also not clear what role AfsA genes, hybrid or not, play in phyla outside of actinobacteria, as they have their o</w:t>
      </w:r>
      <w:r w:rsidR="00074937">
        <w:t>wn distinct hormone systems (Shae</w:t>
      </w:r>
      <w:r w:rsidR="00662EB1">
        <w:t>fer et al, 2013</w:t>
      </w:r>
      <w:r w:rsidR="00467514">
        <w:t>). Furthermore</w:t>
      </w:r>
      <w:r w:rsidR="00E2609A">
        <w:t>,</w:t>
      </w:r>
      <w:r w:rsidR="00467514">
        <w:t xml:space="preserve"> it is unclear what relationship said hybrid proteins would have with any potential </w:t>
      </w:r>
      <w:r w:rsidR="00467514" w:rsidRPr="009E6EEA">
        <w:rPr>
          <w:i/>
        </w:rPr>
        <w:t>Streptomyces</w:t>
      </w:r>
      <w:r w:rsidR="00467514">
        <w:t xml:space="preserve"> </w:t>
      </w:r>
      <w:r w:rsidR="006F0605">
        <w:t>hybrid</w:t>
      </w:r>
      <w:r w:rsidR="00467514">
        <w:t xml:space="preserve"> proteins</w:t>
      </w:r>
      <w:r w:rsidR="00B01170">
        <w:t>,</w:t>
      </w:r>
      <w:r w:rsidR="00467514">
        <w:t xml:space="preserve"> but it is sufficient to suggest that incorporation of AfsA into a PKS is 1) biochemically compatible and 2) does not alter AfsA to the degree that it is unable to be aligned to pfam and Interpro HMMs. A full analysis of these hybrids including the gene phylogenies of both components would be </w:t>
      </w:r>
      <w:r w:rsidR="00326F99">
        <w:t>informative</w:t>
      </w:r>
      <w:r w:rsidR="00467514">
        <w:t xml:space="preserve"> as to the number of times such a fusion event has occurred and to what extent the hybrid </w:t>
      </w:r>
      <w:r w:rsidR="00467514">
        <w:lastRenderedPageBreak/>
        <w:t>and non-hybrid components share sequence similarities. Such an analysis</w:t>
      </w:r>
      <w:r w:rsidR="00326F99">
        <w:t>, though feasible,</w:t>
      </w:r>
      <w:r w:rsidR="00467514">
        <w:t xml:space="preserve"> was outside of the scope of the current proposal. </w:t>
      </w:r>
    </w:p>
    <w:p w14:paraId="6F1B117D" w14:textId="14CE2567" w:rsidR="008E600C" w:rsidRPr="00603763" w:rsidRDefault="006F0605" w:rsidP="00AE72A9">
      <w:pPr>
        <w:ind w:firstLine="720"/>
      </w:pPr>
      <w:r>
        <w:t>Hypothetical PKS/AfsA hybrid(s) were chosen as a molecular target for this proposal. Detection of a hybrid protein would be a strong putative lead for ACG biosynthesis. Indeed</w:t>
      </w:r>
      <w:r w:rsidR="00B01170">
        <w:t>,</w:t>
      </w:r>
      <w:r>
        <w:t xml:space="preserve"> none of the evidence alone so far points to a hybrid as a likely hypothesis</w:t>
      </w:r>
      <w:r w:rsidR="00B01170">
        <w:t>,</w:t>
      </w:r>
      <w:r>
        <w:t xml:space="preserve"> but taken together</w:t>
      </w:r>
      <w:r w:rsidR="00B01170">
        <w:t>,</w:t>
      </w:r>
      <w:r>
        <w:t xml:space="preserve"> it makes such an explanation plausible. Perhaps </w:t>
      </w:r>
      <w:r w:rsidRPr="009E6EEA">
        <w:rPr>
          <w:i/>
        </w:rPr>
        <w:t>Streptomyces</w:t>
      </w:r>
      <w:r>
        <w:t xml:space="preserve"> </w:t>
      </w:r>
      <w:r w:rsidR="00662EB1">
        <w:t xml:space="preserve">endophytes </w:t>
      </w:r>
      <w:r>
        <w:t xml:space="preserve">in Annonaceae produce acetogenins by </w:t>
      </w:r>
      <w:r w:rsidR="00662EB1">
        <w:t>a fused</w:t>
      </w:r>
      <w:r>
        <w:t xml:space="preserve"> </w:t>
      </w:r>
      <w:r w:rsidR="00662EB1">
        <w:t>PKS-AfsA gene</w:t>
      </w:r>
      <w:r>
        <w:t>. The testable ques</w:t>
      </w:r>
      <w:r w:rsidR="00662EB1">
        <w:t>tion remains: ca</w:t>
      </w:r>
      <w:r w:rsidR="009314C9">
        <w:t xml:space="preserve">n </w:t>
      </w:r>
      <w:r w:rsidR="00662EB1">
        <w:t>such a hybrid sequence</w:t>
      </w:r>
      <w:r>
        <w:t xml:space="preserve"> be detected from an Annonaceae sample directly?</w:t>
      </w:r>
    </w:p>
    <w:p w14:paraId="48C89C1F" w14:textId="39967926" w:rsidR="006F0605" w:rsidRPr="00C746DC" w:rsidRDefault="00B124AD" w:rsidP="00C746DC">
      <w:pPr>
        <w:rPr>
          <w:b/>
        </w:rPr>
      </w:pPr>
      <w:r w:rsidRPr="00B124AD">
        <w:rPr>
          <w:b/>
        </w:rPr>
        <w:t>Experiment</w:t>
      </w:r>
    </w:p>
    <w:p w14:paraId="001E4D8F" w14:textId="590E646D" w:rsidR="00D34943" w:rsidRDefault="00D34943" w:rsidP="00D34943">
      <w:pPr>
        <w:ind w:firstLine="720"/>
      </w:pPr>
      <w:r>
        <w:t xml:space="preserve">The </w:t>
      </w:r>
      <w:r w:rsidR="00C746DC">
        <w:t xml:space="preserve">experimental </w:t>
      </w:r>
      <w:r>
        <w:t xml:space="preserve">logic of the current proposal is </w:t>
      </w:r>
      <w:r w:rsidR="00C746DC">
        <w:t>as follows:</w:t>
      </w:r>
      <w:r>
        <w:t xml:space="preserve"> if a </w:t>
      </w:r>
      <w:r w:rsidRPr="00D34943">
        <w:rPr>
          <w:i/>
        </w:rPr>
        <w:t>Streptomyces</w:t>
      </w:r>
      <w:r w:rsidR="00662EB1">
        <w:t xml:space="preserve"> PKS-</w:t>
      </w:r>
      <w:r>
        <w:t xml:space="preserve">AfsA hybrid gene can be detected from an Annonaceous tissue sample, this gene </w:t>
      </w:r>
      <w:r w:rsidR="00C746DC">
        <w:t>(</w:t>
      </w:r>
      <w:r>
        <w:t xml:space="preserve">and </w:t>
      </w:r>
      <w:r w:rsidR="00C746DC">
        <w:t xml:space="preserve">the corresponding BGC) </w:t>
      </w:r>
      <w:r w:rsidR="00772767">
        <w:t xml:space="preserve">is a </w:t>
      </w:r>
      <w:r>
        <w:t xml:space="preserve">strong </w:t>
      </w:r>
      <w:r w:rsidR="00C746DC">
        <w:t xml:space="preserve">candidate </w:t>
      </w:r>
      <w:r>
        <w:t xml:space="preserve">for ACG biosynthesis. </w:t>
      </w:r>
    </w:p>
    <w:p w14:paraId="2121F8C0" w14:textId="17CAA0A9" w:rsidR="00F732EB" w:rsidRDefault="00330CB8" w:rsidP="00DF58CC">
      <w:pPr>
        <w:ind w:firstLine="720"/>
      </w:pPr>
      <w:r>
        <w:t>Detection w</w:t>
      </w:r>
      <w:r w:rsidR="00C746DC">
        <w:t>as chosen to be performed by polymerase chain reaction (PCR)</w:t>
      </w:r>
      <w:r>
        <w:t xml:space="preserve"> because of the</w:t>
      </w:r>
      <w:r w:rsidR="000A1086">
        <w:t xml:space="preserve"> </w:t>
      </w:r>
      <w:r w:rsidR="00772767">
        <w:t xml:space="preserve">method’s </w:t>
      </w:r>
      <w:r w:rsidR="000A1086">
        <w:t>strength,</w:t>
      </w:r>
      <w:r w:rsidR="001A0651">
        <w:t xml:space="preserve"> simplicity</w:t>
      </w:r>
      <w:r w:rsidR="00C746DC">
        <w:t>,</w:t>
      </w:r>
      <w:r w:rsidR="000A1086">
        <w:t xml:space="preserve"> </w:t>
      </w:r>
      <w:r w:rsidR="00C746DC">
        <w:t>flexib</w:t>
      </w:r>
      <w:r w:rsidR="000A1086">
        <w:t>ility</w:t>
      </w:r>
      <w:r w:rsidR="00C746DC">
        <w:t xml:space="preserve">, and </w:t>
      </w:r>
      <w:r w:rsidR="00A43F2D">
        <w:t>sensitivity</w:t>
      </w:r>
      <w:r>
        <w:t xml:space="preserve">. </w:t>
      </w:r>
      <w:r w:rsidR="00F732EB">
        <w:t>Normally, PCR primer sequences are chosen so that they are specific only to the target of interest</w:t>
      </w:r>
      <w:r w:rsidR="00662EB1">
        <w:t xml:space="preserve">. </w:t>
      </w:r>
      <w:r w:rsidR="00F732EB">
        <w:t>This approach presupposes knowledge of the sequence of interest. When PCR is used as a discovery tool, primers are designed so that they are conserved and specific to sequences similar to those wished to be discovered.</w:t>
      </w:r>
    </w:p>
    <w:p w14:paraId="22D22C13" w14:textId="2B51CBA0" w:rsidR="00F732EB" w:rsidRDefault="00F732EB" w:rsidP="00DF58CC">
      <w:pPr>
        <w:ind w:firstLine="720"/>
      </w:pPr>
      <w:r>
        <w:t xml:space="preserve">In the case of detecting unknown genes based on their similarities to known gene sequences, degenerate primers are employed. Degenerate primers are designed from conserved protein motifs present in the protein family of interest but absent in all other protein families (or </w:t>
      </w:r>
      <w:r w:rsidR="00434A5B">
        <w:t>the combination of forward and reverse motifs is unique</w:t>
      </w:r>
      <w:r>
        <w:t>). Because of the degeneracy of the genetic code, these primers are actually a population of primers covering every possible DNA sequence that could produce a given protein motif. While others have detected fusion events by designing a primer to span the junction sequence (</w:t>
      </w:r>
      <w:r w:rsidR="00662EB1">
        <w:t>ArcherDX</w:t>
      </w:r>
      <w:r>
        <w:t xml:space="preserve">), such an approach is </w:t>
      </w:r>
      <w:r w:rsidR="00F738F5">
        <w:t xml:space="preserve">presently </w:t>
      </w:r>
      <w:r>
        <w:t xml:space="preserve">inappropriate </w:t>
      </w:r>
      <w:r w:rsidR="00F738F5">
        <w:t>because</w:t>
      </w:r>
      <w:r>
        <w:t xml:space="preserve"> the hypothetical junction would be very poorly conserved</w:t>
      </w:r>
      <w:r w:rsidR="00F738F5">
        <w:t xml:space="preserve">. </w:t>
      </w:r>
      <w:r>
        <w:t xml:space="preserve">Instead, designing the forward primer to target the PKS sequence and the reverse primer to target the AfsA sequence is more appropriate. </w:t>
      </w:r>
    </w:p>
    <w:p w14:paraId="1F536AF7" w14:textId="296ACE92" w:rsidR="003822E0" w:rsidRDefault="00C23342" w:rsidP="00D34943">
      <w:pPr>
        <w:ind w:firstLine="720"/>
      </w:pPr>
      <w:r>
        <w:t xml:space="preserve">Separation </w:t>
      </w:r>
      <w:r w:rsidR="001A0651">
        <w:t>of prokaryotic and eukaryotic</w:t>
      </w:r>
      <w:r>
        <w:t xml:space="preserve"> DNA</w:t>
      </w:r>
      <w:r w:rsidR="001A0651">
        <w:t xml:space="preserve"> </w:t>
      </w:r>
      <w:r w:rsidR="00C746DC">
        <w:t>ranges fr</w:t>
      </w:r>
      <w:r w:rsidR="00ED69ED">
        <w:t>om difficult to impossible</w:t>
      </w:r>
      <w:r>
        <w:t>, making amplification of DNA unsatisfactory</w:t>
      </w:r>
      <w:r w:rsidR="001A0651">
        <w:t xml:space="preserve">. </w:t>
      </w:r>
      <w:r>
        <w:t>Additionally, t</w:t>
      </w:r>
      <w:r w:rsidR="001A0651">
        <w:t>he relative concentration of PKS/AfsA</w:t>
      </w:r>
      <w:r w:rsidR="00F73384">
        <w:t xml:space="preserve"> DNA sequences</w:t>
      </w:r>
      <w:r w:rsidR="001A0651">
        <w:t xml:space="preserve"> is predicted to be low in comparison to RNA during </w:t>
      </w:r>
      <w:r w:rsidR="00772767">
        <w:t xml:space="preserve">the </w:t>
      </w:r>
      <w:r w:rsidR="001A0651">
        <w:t>active production of ACGs</w:t>
      </w:r>
      <w:r w:rsidR="00A43F2D">
        <w:t>.</w:t>
      </w:r>
      <w:r w:rsidR="00C746DC">
        <w:t xml:space="preserve"> </w:t>
      </w:r>
      <w:r w:rsidR="00A43F2D">
        <w:t>I</w:t>
      </w:r>
      <w:r w:rsidR="00C746DC">
        <w:t>n the genome</w:t>
      </w:r>
      <w:r w:rsidR="00772767">
        <w:t>,</w:t>
      </w:r>
      <w:r w:rsidR="00C746DC">
        <w:t xml:space="preserve"> as little as one</w:t>
      </w:r>
      <w:r>
        <w:t xml:space="preserve"> copy</w:t>
      </w:r>
      <w:r w:rsidR="00C746DC">
        <w:t xml:space="preserve"> </w:t>
      </w:r>
      <w:r>
        <w:t xml:space="preserve">is predicted to </w:t>
      </w:r>
      <w:r w:rsidR="00C746DC">
        <w:t>exist, whereas a multitude of RNA transcripts should be present</w:t>
      </w:r>
      <w:r w:rsidR="00A43F2D">
        <w:t xml:space="preserve"> during ACG </w:t>
      </w:r>
      <w:r>
        <w:t>production</w:t>
      </w:r>
      <w:r w:rsidR="001A0651">
        <w:t xml:space="preserve">. </w:t>
      </w:r>
      <w:r>
        <w:t>Unlike DNA</w:t>
      </w:r>
      <w:r w:rsidR="001A0651">
        <w:t>, separation of bacterial and prokaryotic mRNA can be ac</w:t>
      </w:r>
      <w:r w:rsidR="00F73384">
        <w:t>complished by poly-A depletion</w:t>
      </w:r>
      <w:r>
        <w:t xml:space="preserve"> (</w:t>
      </w:r>
      <w:r w:rsidR="00826D03">
        <w:t>Szabo and Salzman, 2017</w:t>
      </w:r>
      <w:r>
        <w:t>)</w:t>
      </w:r>
      <w:r w:rsidR="00F73384">
        <w:t xml:space="preserve">, effectively increasing the concentration of </w:t>
      </w:r>
      <w:r w:rsidR="00C746DC">
        <w:t>bacterial mRNA</w:t>
      </w:r>
      <w:r w:rsidR="00F73384">
        <w:t xml:space="preserve"> in the sample. Use of RNA is also predicted to drastically reduce non-target</w:t>
      </w:r>
      <w:r w:rsidR="00712B27">
        <w:t xml:space="preserve"> amplification</w:t>
      </w:r>
      <w:r w:rsidR="00055412">
        <w:t>,</w:t>
      </w:r>
      <w:r w:rsidR="00712B27">
        <w:t xml:space="preserve"> due to decoupling of non-target probe sites and reduction in size from the genome to the </w:t>
      </w:r>
      <w:r w:rsidR="000C750E">
        <w:rPr>
          <w:i/>
        </w:rPr>
        <w:t xml:space="preserve">in </w:t>
      </w:r>
      <w:r w:rsidR="000C750E" w:rsidRPr="00C746DC">
        <w:rPr>
          <w:i/>
        </w:rPr>
        <w:t xml:space="preserve">situ </w:t>
      </w:r>
      <w:r w:rsidR="000C750E" w:rsidRPr="000C750E">
        <w:t>tra</w:t>
      </w:r>
      <w:r w:rsidR="00C746DC">
        <w:t>n</w:t>
      </w:r>
      <w:r w:rsidR="000C750E" w:rsidRPr="000C750E">
        <w:t>scriptome</w:t>
      </w:r>
      <w:r w:rsidR="00712B27">
        <w:t>.</w:t>
      </w:r>
      <w:r w:rsidR="00D34943">
        <w:t xml:space="preserve"> </w:t>
      </w:r>
      <w:r w:rsidR="00C746DC">
        <w:t>For these reasons</w:t>
      </w:r>
      <w:r w:rsidR="00055412">
        <w:t>,</w:t>
      </w:r>
      <w:r w:rsidR="00C746DC">
        <w:t xml:space="preserve"> r</w:t>
      </w:r>
      <w:r w:rsidR="000C750E">
        <w:t xml:space="preserve">everse transcription PCR </w:t>
      </w:r>
      <w:r w:rsidR="00C746DC">
        <w:t xml:space="preserve">(RT-PCR) </w:t>
      </w:r>
      <w:r w:rsidR="000C750E">
        <w:t>was chosen</w:t>
      </w:r>
      <w:r w:rsidR="00C746DC">
        <w:t>.</w:t>
      </w:r>
    </w:p>
    <w:p w14:paraId="2E7BB901" w14:textId="440BEC31" w:rsidR="00A85561" w:rsidRDefault="00A85561" w:rsidP="00D34943">
      <w:pPr>
        <w:ind w:firstLine="720"/>
      </w:pPr>
      <w:r w:rsidRPr="009E6EEA">
        <w:t>PKS genes</w:t>
      </w:r>
      <w:r>
        <w:t xml:space="preserve"> have three minimal domains: KS, AT, and ACP. </w:t>
      </w:r>
      <w:r w:rsidR="00826D03">
        <w:t>Many</w:t>
      </w:r>
      <w:r>
        <w:t xml:space="preserve"> PKSs have trans-AT domains</w:t>
      </w:r>
      <w:r w:rsidR="005E3D87">
        <w:t>,</w:t>
      </w:r>
      <w:r>
        <w:t xml:space="preserve"> meaning</w:t>
      </w:r>
      <w:r w:rsidR="005E3D87">
        <w:t xml:space="preserve"> that</w:t>
      </w:r>
      <w:r>
        <w:t xml:space="preserve"> they </w:t>
      </w:r>
      <w:r w:rsidR="00A1011D">
        <w:t>are encoded</w:t>
      </w:r>
      <w:r>
        <w:t xml:space="preserve"> elsewhere in the genome. ACP dom</w:t>
      </w:r>
      <w:r w:rsidR="00EF63B5">
        <w:t xml:space="preserve">ains are small and highly divergent in </w:t>
      </w:r>
      <w:r>
        <w:t>primary</w:t>
      </w:r>
      <w:r w:rsidR="00EF63B5">
        <w:t xml:space="preserve">, secondary, and </w:t>
      </w:r>
      <w:r>
        <w:t>tertiary organization</w:t>
      </w:r>
      <w:r w:rsidR="005E3D87">
        <w:t>,</w:t>
      </w:r>
      <w:r>
        <w:t xml:space="preserve"> making them unsuitable for motif discovery. KS domains are the </w:t>
      </w:r>
      <w:r w:rsidR="00216E49">
        <w:t>least divergent</w:t>
      </w:r>
      <w:r>
        <w:t xml:space="preserve"> of all PKS domains and</w:t>
      </w:r>
      <w:r w:rsidR="005E3D87">
        <w:t xml:space="preserve"> are</w:t>
      </w:r>
      <w:r>
        <w:t xml:space="preserve"> also present in all types of PKSs, making them the most suitable for motif discovery.</w:t>
      </w:r>
      <w:r w:rsidR="00216E49">
        <w:t xml:space="preserve"> </w:t>
      </w:r>
    </w:p>
    <w:p w14:paraId="3E1BBD56" w14:textId="34897BAE" w:rsidR="00EF63B5" w:rsidRDefault="00AA323E" w:rsidP="00D34943">
      <w:pPr>
        <w:ind w:firstLine="720"/>
      </w:pPr>
      <w:r>
        <w:lastRenderedPageBreak/>
        <w:t xml:space="preserve">Existing degenerate primer design software </w:t>
      </w:r>
      <w:r w:rsidR="0078254E">
        <w:t>has three major shortcomings</w:t>
      </w:r>
      <w:r w:rsidR="00AE2F64">
        <w:t xml:space="preserve"> towards</w:t>
      </w:r>
      <w:r w:rsidR="0078254E">
        <w:t xml:space="preserve"> the current proposal</w:t>
      </w:r>
      <w:r>
        <w:t xml:space="preserve">. </w:t>
      </w:r>
      <w:r w:rsidR="0078254E">
        <w:t>Firstly, s</w:t>
      </w:r>
      <w:r w:rsidR="00A644C9">
        <w:t>uch</w:t>
      </w:r>
      <w:r>
        <w:t xml:space="preserve"> software </w:t>
      </w:r>
      <w:r w:rsidR="0078254E">
        <w:t xml:space="preserve">attempts to find </w:t>
      </w:r>
      <w:r w:rsidR="00A644C9">
        <w:t>two motifs at least N residues apart</w:t>
      </w:r>
      <w:r w:rsidR="00AE2F64">
        <w:t>, whereas only one motif for KS and one for AfsA is necessary</w:t>
      </w:r>
      <w:r w:rsidR="0078254E">
        <w:t xml:space="preserve">. Secondly, it requires </w:t>
      </w:r>
      <w:r w:rsidR="00A644C9">
        <w:t>a protein global alignment</w:t>
      </w:r>
      <w:r w:rsidR="0078254E">
        <w:t xml:space="preserve"> input</w:t>
      </w:r>
      <w:r w:rsidR="00A644C9">
        <w:t>.</w:t>
      </w:r>
      <w:r w:rsidR="0078254E">
        <w:t xml:space="preserve"> Even if</w:t>
      </w:r>
      <w:r w:rsidR="00A644C9">
        <w:t xml:space="preserve"> </w:t>
      </w:r>
      <w:r w:rsidR="00A644C9">
        <w:rPr>
          <w:i/>
        </w:rPr>
        <w:t>Streptomyces</w:t>
      </w:r>
      <w:r w:rsidR="00A644C9">
        <w:t xml:space="preserve"> PKS/AfsA hybrid</w:t>
      </w:r>
      <w:r w:rsidR="0078254E">
        <w:t xml:space="preserve">s </w:t>
      </w:r>
      <w:r w:rsidR="008121B7">
        <w:t>were available for input</w:t>
      </w:r>
      <w:r w:rsidR="0078254E">
        <w:t xml:space="preserve"> </w:t>
      </w:r>
      <w:r w:rsidR="00AE2F64">
        <w:t>at the time of this writing</w:t>
      </w:r>
      <w:r w:rsidR="0078254E">
        <w:t>, AfsA produces poor global alignments in its own right</w:t>
      </w:r>
      <w:r w:rsidR="009B6680">
        <w:t>,</w:t>
      </w:r>
      <w:r w:rsidR="0078254E">
        <w:t xml:space="preserve"> making such an approach not feasible</w:t>
      </w:r>
      <w:r w:rsidR="00AE2F64">
        <w:t xml:space="preserve"> (data not shown)</w:t>
      </w:r>
      <w:r w:rsidR="00A644C9">
        <w:t xml:space="preserve">. </w:t>
      </w:r>
      <w:r w:rsidR="0078254E">
        <w:t>Thirdl</w:t>
      </w:r>
      <w:r w:rsidR="008121B7">
        <w:t xml:space="preserve">y, when one motif is insufficient, such software </w:t>
      </w:r>
      <w:r w:rsidR="00402585">
        <w:t>does not allow for multiple motifs</w:t>
      </w:r>
      <w:r w:rsidR="008121B7">
        <w:t xml:space="preserve"> from</w:t>
      </w:r>
      <w:r w:rsidR="00402585">
        <w:t xml:space="preserve"> </w:t>
      </w:r>
      <w:r w:rsidR="008121B7">
        <w:t>hidden</w:t>
      </w:r>
      <w:r w:rsidR="00402585">
        <w:t xml:space="preserve"> subtypes of proteins.</w:t>
      </w:r>
    </w:p>
    <w:p w14:paraId="3D7F04A7" w14:textId="01837AB4" w:rsidR="006C781D" w:rsidRDefault="005F4E49" w:rsidP="009E6EEA">
      <w:pPr>
        <w:ind w:firstLine="720"/>
      </w:pPr>
      <w:r>
        <w:t xml:space="preserve">In </w:t>
      </w:r>
      <w:r w:rsidRPr="009E6EEA">
        <w:rPr>
          <w:i/>
        </w:rPr>
        <w:t>Streptomyces</w:t>
      </w:r>
      <w:r>
        <w:t xml:space="preserve"> AfsA (pfam), no single 6 amino acid motif exists for greater than ~60% of the sequences. </w:t>
      </w:r>
      <w:r w:rsidR="008121B7">
        <w:t>M</w:t>
      </w:r>
      <w:r>
        <w:t>ultiple motifs</w:t>
      </w:r>
      <w:r w:rsidR="008121B7">
        <w:t xml:space="preserve"> must be found </w:t>
      </w:r>
      <w:r>
        <w:t>for the reverse primer of AfsA</w:t>
      </w:r>
      <w:r w:rsidR="008121B7">
        <w:t xml:space="preserve"> used in individual PCR reactions</w:t>
      </w:r>
      <w:r>
        <w:t xml:space="preserve">. </w:t>
      </w:r>
      <w:r w:rsidR="00E53472">
        <w:t xml:space="preserve">Arguably, the most powerful software for determining protein motifs is the MEME suite. </w:t>
      </w:r>
      <w:r>
        <w:t xml:space="preserve">Although this software does identify motifs in AfsA, it </w:t>
      </w:r>
      <w:r w:rsidR="001C0407">
        <w:t>is designe</w:t>
      </w:r>
      <w:r w:rsidR="009B6680">
        <w:t>d to discover functional motifs.</w:t>
      </w:r>
      <w:r w:rsidR="001C0407">
        <w:t xml:space="preserve"> </w:t>
      </w:r>
      <w:r w:rsidR="009B6680">
        <w:t>As such, it neither</w:t>
      </w:r>
      <w:r w:rsidR="001C0407">
        <w:t xml:space="preserve"> </w:t>
      </w:r>
      <w:r w:rsidR="009B6680">
        <w:t>provides</w:t>
      </w:r>
      <w:r>
        <w:t xml:space="preserve"> tools to determine the percentage of sequences covered by </w:t>
      </w:r>
      <w:r w:rsidR="001C0407">
        <w:t xml:space="preserve">each </w:t>
      </w:r>
      <w:r>
        <w:t xml:space="preserve">additional </w:t>
      </w:r>
      <w:r w:rsidR="001C0407">
        <w:t>motif</w:t>
      </w:r>
      <w:r w:rsidR="00E53472">
        <w:t xml:space="preserve">, nor </w:t>
      </w:r>
      <w:r w:rsidR="009B6680">
        <w:t xml:space="preserve">a way to </w:t>
      </w:r>
      <w:r w:rsidR="00E53472">
        <w:t>handle overlapping motifs. For example</w:t>
      </w:r>
      <w:r w:rsidR="00E240DA">
        <w:t>, if one motif is reported in 50% of sequences and a second is reported in 50% of sequences, it is not clear whether the co-occurrence is 100%, 0% or some value in between. In the case of 100% co-occurrence, only one of the motifs is necessary to represent that half o</w:t>
      </w:r>
      <w:r w:rsidR="00ED32B2">
        <w:t>f the sequences</w:t>
      </w:r>
      <w:r w:rsidR="002F0603">
        <w:t xml:space="preserve"> while other motifs will need to be discovered to represent the remaining half</w:t>
      </w:r>
      <w:r w:rsidR="00E240DA">
        <w:t xml:space="preserve">. </w:t>
      </w:r>
      <w:r w:rsidR="007C6B11">
        <w:t>In the 0% case,</w:t>
      </w:r>
      <w:r w:rsidR="00ED32B2">
        <w:t xml:space="preserve"> </w:t>
      </w:r>
      <w:r w:rsidR="002F0603">
        <w:t xml:space="preserve">the </w:t>
      </w:r>
      <w:r w:rsidR="00ED32B2">
        <w:t xml:space="preserve">two motifs are </w:t>
      </w:r>
      <w:r w:rsidR="007C6B11">
        <w:t>adequate</w:t>
      </w:r>
      <w:r w:rsidR="00ED32B2">
        <w:t xml:space="preserve"> to represent all of the sequences.</w:t>
      </w:r>
      <w:r w:rsidR="007C6B11">
        <w:t xml:space="preserve"> </w:t>
      </w:r>
      <w:r w:rsidR="009B1A56">
        <w:t>A custom program was used to surmount these issues.</w:t>
      </w:r>
    </w:p>
    <w:p w14:paraId="120221C2" w14:textId="0CE75071" w:rsidR="00322921" w:rsidRDefault="006C781D" w:rsidP="009E6EEA">
      <w:pPr>
        <w:ind w:firstLine="720"/>
      </w:pPr>
      <w:r>
        <w:t>The basic concept behind the</w:t>
      </w:r>
      <w:r w:rsidR="002F0603">
        <w:t xml:space="preserve"> custom</w:t>
      </w:r>
      <w:r>
        <w:t xml:space="preserve"> program </w:t>
      </w:r>
      <w:r w:rsidR="00570A3C">
        <w:t>was</w:t>
      </w:r>
      <w:r w:rsidR="009B1A56">
        <w:t xml:space="preserve"> to</w:t>
      </w:r>
      <w:r w:rsidR="00FD3AB7">
        <w:t xml:space="preserve"> find</w:t>
      </w:r>
      <w:r w:rsidR="004D2DDF">
        <w:t xml:space="preserve"> motifs unique to known sequences homologous to the unknown sequence of interest. The uniqueness</w:t>
      </w:r>
      <w:r w:rsidR="00570A3C">
        <w:t xml:space="preserve"> of a motif was</w:t>
      </w:r>
      <w:r w:rsidR="00D14C79">
        <w:t xml:space="preserve"> determined by its absence from distantly homologous, non-target sequences</w:t>
      </w:r>
      <w:r w:rsidR="002F0603">
        <w:t xml:space="preserve"> for which motif conservation is a distinct possibility</w:t>
      </w:r>
      <w:r w:rsidR="00D14C79">
        <w:t>.</w:t>
      </w:r>
      <w:r>
        <w:t xml:space="preserve"> </w:t>
      </w:r>
      <w:r w:rsidR="00D14C79">
        <w:t xml:space="preserve">The program was implemented for </w:t>
      </w:r>
      <w:r w:rsidR="00570A3C">
        <w:t xml:space="preserve">forward primer development of KS and </w:t>
      </w:r>
      <w:r w:rsidR="00D14C79">
        <w:t xml:space="preserve">reverse primer development of </w:t>
      </w:r>
      <w:r>
        <w:t>AfsA</w:t>
      </w:r>
      <w:r w:rsidR="00D14C79">
        <w:t>. Included sequences consisted of AfsA</w:t>
      </w:r>
      <w:r>
        <w:t xml:space="preserve"> </w:t>
      </w:r>
      <w:r w:rsidR="009B1A56">
        <w:t>(pfam) protein sequences</w:t>
      </w:r>
      <w:r>
        <w:t xml:space="preserve"> only within </w:t>
      </w:r>
      <w:r w:rsidRPr="009E6EEA">
        <w:rPr>
          <w:i/>
        </w:rPr>
        <w:t>Streptomyces</w:t>
      </w:r>
      <w:r w:rsidR="00D14C79">
        <w:t>. Excluded sequences consisted</w:t>
      </w:r>
      <w:r>
        <w:t xml:space="preserve"> of </w:t>
      </w:r>
      <w:r w:rsidR="009B1A56">
        <w:t>AfsA found in other phyla</w:t>
      </w:r>
      <w:r w:rsidR="002A4BD7">
        <w:t xml:space="preserve"> (1 group)</w:t>
      </w:r>
      <w:r w:rsidR="00D14C79">
        <w:t xml:space="preserve">. </w:t>
      </w:r>
      <w:r w:rsidR="008E64A4">
        <w:t>Distantly-related, non-target homologues consisted of</w:t>
      </w:r>
      <w:r w:rsidR="009B1A56">
        <w:t xml:space="preserve"> </w:t>
      </w:r>
      <w:r>
        <w:t xml:space="preserve">protein families </w:t>
      </w:r>
      <w:r w:rsidR="009B1A56">
        <w:t xml:space="preserve">in the same </w:t>
      </w:r>
      <w:r w:rsidR="002A4BD7">
        <w:t>pfam ‘</w:t>
      </w:r>
      <w:r w:rsidR="009B1A56">
        <w:t>clan</w:t>
      </w:r>
      <w:r w:rsidR="002A4BD7">
        <w:t>’</w:t>
      </w:r>
      <w:r w:rsidR="009B1A56">
        <w:t xml:space="preserve"> </w:t>
      </w:r>
      <w:r w:rsidR="002A4BD7">
        <w:t xml:space="preserve">as AfsA </w:t>
      </w:r>
      <w:r w:rsidR="009B1A56">
        <w:t>(</w:t>
      </w:r>
      <w:r w:rsidR="00FD3AB7">
        <w:t>‘hotdog fold containing domain’</w:t>
      </w:r>
      <w:r w:rsidR="008079E7">
        <w:t>;</w:t>
      </w:r>
      <w:r w:rsidR="00FD3AB7">
        <w:t xml:space="preserve"> </w:t>
      </w:r>
      <w:r w:rsidR="009B1A56" w:rsidRPr="009E6EEA">
        <w:t>cl0050</w:t>
      </w:r>
      <w:r w:rsidR="008E64A4" w:rsidRPr="009E6EEA">
        <w:t>; 1</w:t>
      </w:r>
      <w:r w:rsidR="00570A3C">
        <w:t>3</w:t>
      </w:r>
      <w:r w:rsidR="008079E7" w:rsidRPr="009E6EEA">
        <w:t xml:space="preserve"> </w:t>
      </w:r>
      <w:r w:rsidR="00570A3C">
        <w:t>families</w:t>
      </w:r>
      <w:r w:rsidR="009B1A56" w:rsidRPr="009E6EEA">
        <w:t>)</w:t>
      </w:r>
      <w:r w:rsidR="00570A3C">
        <w:t xml:space="preserve"> </w:t>
      </w:r>
      <w:r w:rsidR="00F33A19">
        <w:t>that make</w:t>
      </w:r>
      <w:r w:rsidR="00570A3C">
        <w:t xml:space="preserve"> up the remaining portion of excluded sequences (12 groups)</w:t>
      </w:r>
      <w:r>
        <w:t>.</w:t>
      </w:r>
      <w:r w:rsidR="00FD3AB7">
        <w:t xml:space="preserve"> A greedy algorithm </w:t>
      </w:r>
      <w:r w:rsidR="00F33A19">
        <w:t>(s</w:t>
      </w:r>
      <w:r w:rsidR="009F72A3">
        <w:t xml:space="preserve">ee Discussion) </w:t>
      </w:r>
      <w:r w:rsidR="00FD3AB7">
        <w:t xml:space="preserve">was employed so </w:t>
      </w:r>
      <w:r w:rsidR="004714BC">
        <w:t>tha</w:t>
      </w:r>
      <w:r w:rsidR="00702704">
        <w:t>t the</w:t>
      </w:r>
      <w:r w:rsidR="004714BC">
        <w:t xml:space="preserve"> most common motif (MCM)</w:t>
      </w:r>
      <w:r w:rsidR="007067E8">
        <w:t xml:space="preserve"> was </w:t>
      </w:r>
      <w:r w:rsidR="008E64A4">
        <w:t>considered at the start of each iteration</w:t>
      </w:r>
      <w:r w:rsidR="004714BC">
        <w:t>.</w:t>
      </w:r>
      <w:r w:rsidR="00474B98">
        <w:t xml:space="preserve"> If the putative MCM was present in more than 1% of any excluded group (ex. AfsA from non-Actinobacteria, Polyketide Dehydratase from </w:t>
      </w:r>
      <w:r w:rsidR="00474B98">
        <w:rPr>
          <w:i/>
        </w:rPr>
        <w:t>Streptomyces</w:t>
      </w:r>
      <w:r w:rsidR="00474B98">
        <w:t xml:space="preserve">, etc.), it was deemed non-unique and discarded, and the next MCM was considered. </w:t>
      </w:r>
      <w:r w:rsidR="00570A3C">
        <w:t xml:space="preserve"> </w:t>
      </w:r>
      <w:r w:rsidR="004714BC">
        <w:t>All sequences containing the</w:t>
      </w:r>
      <w:r w:rsidR="00C66E9F">
        <w:t xml:space="preserve"> unique</w:t>
      </w:r>
      <w:r w:rsidR="004714BC">
        <w:t xml:space="preserve"> MCM were removed and </w:t>
      </w:r>
      <w:r w:rsidR="00474B98">
        <w:t>a</w:t>
      </w:r>
      <w:r w:rsidR="004714BC">
        <w:t xml:space="preserve"> MCM was found from the remaining sequences. </w:t>
      </w:r>
      <w:r w:rsidR="008E64A4">
        <w:t>Iteration was</w:t>
      </w:r>
      <w:r w:rsidR="00C66E9F">
        <w:t xml:space="preserve"> continued until</w:t>
      </w:r>
      <w:r w:rsidR="004714BC">
        <w:t xml:space="preserve"> 10% of divergent sequences remained</w:t>
      </w:r>
      <w:r w:rsidR="00C66E9F">
        <w:t>, which were not considered for primer development</w:t>
      </w:r>
      <w:r w:rsidR="004714BC">
        <w:t xml:space="preserve">. </w:t>
      </w:r>
      <w:r w:rsidR="00236570">
        <w:t>This process yielded</w:t>
      </w:r>
      <w:r w:rsidR="008079E7">
        <w:t xml:space="preserve"> </w:t>
      </w:r>
      <w:r w:rsidR="009F72A3">
        <w:t>two homologous and three</w:t>
      </w:r>
      <w:r w:rsidR="00236570">
        <w:t xml:space="preserve"> </w:t>
      </w:r>
      <w:r w:rsidR="00702704">
        <w:t>heterologous</w:t>
      </w:r>
      <w:r w:rsidR="00860F7C">
        <w:t xml:space="preserve"> motifs (Table 1</w:t>
      </w:r>
      <w:r w:rsidR="00A63785">
        <w:t xml:space="preserve">) </w:t>
      </w:r>
      <w:r w:rsidR="00756CC1">
        <w:t xml:space="preserve">from which degenerate reverse primers were designed. </w:t>
      </w:r>
    </w:p>
    <w:p w14:paraId="6AF1C3D1" w14:textId="18AB2B9E" w:rsidR="00FD3AB7" w:rsidRDefault="00756CC1" w:rsidP="009E6EEA">
      <w:pPr>
        <w:ind w:firstLine="720"/>
      </w:pPr>
      <w:r>
        <w:t>Being less divergent</w:t>
      </w:r>
      <w:r w:rsidR="00F86D4C">
        <w:t>, motif discovery in KS was not as problematic</w:t>
      </w:r>
      <w:r w:rsidR="00322921">
        <w:t xml:space="preserve"> as AfsA</w:t>
      </w:r>
      <w:r w:rsidR="00F86D4C">
        <w:t>. Pfam does not distinguis</w:t>
      </w:r>
      <w:r w:rsidR="00322921">
        <w:t>h between</w:t>
      </w:r>
      <w:r w:rsidR="00526221">
        <w:t xml:space="preserve"> KS domains from </w:t>
      </w:r>
      <w:r w:rsidR="00F86D4C">
        <w:t xml:space="preserve">FAS and </w:t>
      </w:r>
      <w:r w:rsidR="00145252">
        <w:t xml:space="preserve">Type I, II, and III </w:t>
      </w:r>
      <w:r w:rsidR="00526221">
        <w:t>PKSs</w:t>
      </w:r>
      <w:r w:rsidR="00145252">
        <w:t>.</w:t>
      </w:r>
      <w:r w:rsidR="00F86D4C">
        <w:t xml:space="preserve"> </w:t>
      </w:r>
      <w:r w:rsidR="00DC505F">
        <w:t xml:space="preserve">To have more specificity in the excluded sequences </w:t>
      </w:r>
      <w:r w:rsidR="00322921">
        <w:t>a</w:t>
      </w:r>
      <w:r w:rsidR="00F86D4C">
        <w:t xml:space="preserve"> small</w:t>
      </w:r>
      <w:r w:rsidR="00145252">
        <w:t>,</w:t>
      </w:r>
      <w:r w:rsidR="009F72A3">
        <w:t xml:space="preserve"> hand-</w:t>
      </w:r>
      <w:r w:rsidR="00F86D4C">
        <w:t xml:space="preserve">curated list of KS domain sequences was taken from fully characterized Type I modular PKSs in </w:t>
      </w:r>
      <w:r w:rsidR="00F86D4C" w:rsidRPr="009E6EEA">
        <w:rPr>
          <w:i/>
        </w:rPr>
        <w:t>Streptomyces</w:t>
      </w:r>
      <w:r w:rsidR="00F86D4C">
        <w:t xml:space="preserve"> (DoB</w:t>
      </w:r>
      <w:r w:rsidR="006D5DA2">
        <w:t>ISCUIT</w:t>
      </w:r>
      <w:r w:rsidR="00F86D4C">
        <w:t xml:space="preserve"> database</w:t>
      </w:r>
      <w:r w:rsidR="00145252">
        <w:t>; 17 sequences</w:t>
      </w:r>
      <w:r w:rsidR="00F86D4C">
        <w:t xml:space="preserve">). </w:t>
      </w:r>
      <w:r w:rsidR="00DC505F">
        <w:t>Excluded sequences (9 groups) consisted of protein families in the pfam thiolase clan</w:t>
      </w:r>
      <w:r w:rsidR="004D1C73">
        <w:t xml:space="preserve"> (cl0046)</w:t>
      </w:r>
      <w:r w:rsidR="00DC505F">
        <w:t xml:space="preserve">. </w:t>
      </w:r>
      <w:r w:rsidR="00236570">
        <w:t xml:space="preserve">These sequences were given the same treatment as AfsA </w:t>
      </w:r>
      <w:r w:rsidR="00526221">
        <w:t>but the kmer length was extended to eight amino acids</w:t>
      </w:r>
      <w:r w:rsidR="009F72A3">
        <w:t>,</w:t>
      </w:r>
      <w:r w:rsidR="00526221">
        <w:t xml:space="preserve"> </w:t>
      </w:r>
      <w:r w:rsidR="00236570">
        <w:t xml:space="preserve">yielding two homologous motifs representing all </w:t>
      </w:r>
      <w:r w:rsidR="00526221">
        <w:t>[100%]</w:t>
      </w:r>
      <w:r w:rsidR="00236570">
        <w:t xml:space="preserve"> of the 17 sequences (</w:t>
      </w:r>
      <w:r w:rsidR="004D1C73">
        <w:t xml:space="preserve">see </w:t>
      </w:r>
      <w:r w:rsidR="00236570">
        <w:t xml:space="preserve">Table 1). </w:t>
      </w:r>
      <w:r w:rsidR="00DC505F">
        <w:t>A single nucleic acid substitution accoun</w:t>
      </w:r>
      <w:r w:rsidR="00936220">
        <w:t>ts</w:t>
      </w:r>
      <w:r w:rsidR="00DC505F">
        <w:t xml:space="preserve"> for the difference between the two motifs. The two were combined giving a single degenerate forward primer for </w:t>
      </w:r>
      <w:r w:rsidR="00DC505F" w:rsidRPr="009E6EEA">
        <w:rPr>
          <w:i/>
        </w:rPr>
        <w:t>Streptomyces</w:t>
      </w:r>
      <w:r w:rsidR="00DC505F">
        <w:t xml:space="preserve"> KS domain.</w:t>
      </w:r>
    </w:p>
    <w:tbl>
      <w:tblPr>
        <w:tblStyle w:val="TableGrid"/>
        <w:tblW w:w="0" w:type="auto"/>
        <w:tblLook w:val="04A0" w:firstRow="1" w:lastRow="0" w:firstColumn="1" w:lastColumn="0" w:noHBand="0" w:noVBand="1"/>
      </w:tblPr>
      <w:tblGrid>
        <w:gridCol w:w="1870"/>
        <w:gridCol w:w="1870"/>
        <w:gridCol w:w="1870"/>
        <w:gridCol w:w="3194"/>
      </w:tblGrid>
      <w:tr w:rsidR="003D638D" w14:paraId="05C1E90E" w14:textId="77777777" w:rsidTr="00C57816">
        <w:tc>
          <w:tcPr>
            <w:tcW w:w="8804" w:type="dxa"/>
            <w:gridSpan w:val="4"/>
          </w:tcPr>
          <w:p w14:paraId="33F3EE4D" w14:textId="25910002" w:rsidR="003D638D" w:rsidRPr="003D638D" w:rsidRDefault="003D638D" w:rsidP="003D638D">
            <w:pPr>
              <w:jc w:val="center"/>
              <w:rPr>
                <w:b/>
              </w:rPr>
            </w:pPr>
            <w:r w:rsidRPr="003D638D">
              <w:rPr>
                <w:b/>
              </w:rPr>
              <w:lastRenderedPageBreak/>
              <w:t>Table 1</w:t>
            </w:r>
          </w:p>
        </w:tc>
      </w:tr>
      <w:tr w:rsidR="003D638D" w14:paraId="36F0F093" w14:textId="77777777" w:rsidTr="003D638D">
        <w:tc>
          <w:tcPr>
            <w:tcW w:w="1870" w:type="dxa"/>
          </w:tcPr>
          <w:p w14:paraId="57991ECC" w14:textId="69FBB825" w:rsidR="003D638D" w:rsidRDefault="003D638D" w:rsidP="003D638D">
            <w:r>
              <w:t>primer direction</w:t>
            </w:r>
          </w:p>
        </w:tc>
        <w:tc>
          <w:tcPr>
            <w:tcW w:w="1870" w:type="dxa"/>
          </w:tcPr>
          <w:p w14:paraId="283F4D3B" w14:textId="78D453D5" w:rsidR="003D638D" w:rsidRDefault="003D638D" w:rsidP="003D638D">
            <w:r>
              <w:t>homology</w:t>
            </w:r>
          </w:p>
        </w:tc>
        <w:tc>
          <w:tcPr>
            <w:tcW w:w="1870" w:type="dxa"/>
          </w:tcPr>
          <w:p w14:paraId="1F829119" w14:textId="04A0FDE8" w:rsidR="003D638D" w:rsidRDefault="003D638D" w:rsidP="003D638D">
            <w:r>
              <w:t>motif</w:t>
            </w:r>
          </w:p>
        </w:tc>
        <w:tc>
          <w:tcPr>
            <w:tcW w:w="3194" w:type="dxa"/>
          </w:tcPr>
          <w:p w14:paraId="6F053C8D" w14:textId="2F395392" w:rsidR="003D638D" w:rsidRDefault="003D638D" w:rsidP="003D638D">
            <w:r>
              <w:t>primer</w:t>
            </w:r>
          </w:p>
        </w:tc>
      </w:tr>
      <w:tr w:rsidR="003D638D" w14:paraId="619B8136" w14:textId="77777777" w:rsidTr="003D638D">
        <w:tc>
          <w:tcPr>
            <w:tcW w:w="1870" w:type="dxa"/>
          </w:tcPr>
          <w:p w14:paraId="7B167F6C" w14:textId="40E92E9C" w:rsidR="003D638D" w:rsidRDefault="003D638D" w:rsidP="003D638D">
            <w:pPr>
              <w:jc w:val="center"/>
            </w:pPr>
            <w:r>
              <w:t>f</w:t>
            </w:r>
          </w:p>
        </w:tc>
        <w:tc>
          <w:tcPr>
            <w:tcW w:w="1870" w:type="dxa"/>
          </w:tcPr>
          <w:p w14:paraId="29233B10" w14:textId="69B36711" w:rsidR="003D638D" w:rsidRDefault="003D638D" w:rsidP="003D638D">
            <w:pPr>
              <w:jc w:val="center"/>
            </w:pPr>
            <w:r>
              <w:t>KS</w:t>
            </w:r>
          </w:p>
        </w:tc>
        <w:tc>
          <w:tcPr>
            <w:tcW w:w="1870" w:type="dxa"/>
          </w:tcPr>
          <w:p w14:paraId="479D8CC9" w14:textId="39A229E8" w:rsidR="003D638D" w:rsidRDefault="003D638D" w:rsidP="003D638D">
            <w:r>
              <w:t>VE[A|G]</w:t>
            </w:r>
            <w:r w:rsidRPr="003D638D">
              <w:t>HGTGT</w:t>
            </w:r>
          </w:p>
        </w:tc>
        <w:tc>
          <w:tcPr>
            <w:tcW w:w="3194" w:type="dxa"/>
          </w:tcPr>
          <w:p w14:paraId="022EC8CD" w14:textId="0EF0980B" w:rsidR="003D638D" w:rsidRDefault="003D638D" w:rsidP="003D638D">
            <w:r w:rsidRPr="003D638D">
              <w:t>GTNGARGSNCAYGGNACNGGNAC</w:t>
            </w:r>
          </w:p>
        </w:tc>
      </w:tr>
      <w:tr w:rsidR="003D638D" w14:paraId="5E0FA1F7" w14:textId="77777777" w:rsidTr="003D638D">
        <w:tc>
          <w:tcPr>
            <w:tcW w:w="1870" w:type="dxa"/>
            <w:vMerge w:val="restart"/>
          </w:tcPr>
          <w:p w14:paraId="65FA4903" w14:textId="15C3AA3D" w:rsidR="003D638D" w:rsidRDefault="003D638D" w:rsidP="003D638D">
            <w:pPr>
              <w:tabs>
                <w:tab w:val="left" w:pos="760"/>
                <w:tab w:val="center" w:pos="827"/>
              </w:tabs>
            </w:pPr>
            <w:r>
              <w:tab/>
            </w:r>
          </w:p>
          <w:p w14:paraId="4DCFEFE6" w14:textId="0E66A40E" w:rsidR="003D638D" w:rsidRDefault="003D638D" w:rsidP="003D638D">
            <w:pPr>
              <w:jc w:val="center"/>
            </w:pPr>
          </w:p>
          <w:p w14:paraId="3D333567" w14:textId="77777777" w:rsidR="003D638D" w:rsidRDefault="003D638D" w:rsidP="003D638D">
            <w:pPr>
              <w:jc w:val="center"/>
            </w:pPr>
            <w:r>
              <w:t>r</w:t>
            </w:r>
          </w:p>
          <w:p w14:paraId="70948B01" w14:textId="12B061EA" w:rsidR="003D638D" w:rsidRDefault="003D638D" w:rsidP="003D638D">
            <w:pPr>
              <w:jc w:val="center"/>
            </w:pPr>
          </w:p>
          <w:p w14:paraId="6079BAF9" w14:textId="13A903A9" w:rsidR="003D638D" w:rsidRDefault="003D638D" w:rsidP="003D638D">
            <w:pPr>
              <w:jc w:val="center"/>
            </w:pPr>
          </w:p>
        </w:tc>
        <w:tc>
          <w:tcPr>
            <w:tcW w:w="1870" w:type="dxa"/>
            <w:vMerge w:val="restart"/>
          </w:tcPr>
          <w:p w14:paraId="41BA661C" w14:textId="389B6FD1" w:rsidR="003D638D" w:rsidRDefault="003D638D" w:rsidP="003D638D">
            <w:pPr>
              <w:jc w:val="center"/>
            </w:pPr>
          </w:p>
          <w:p w14:paraId="3E1D6F7B" w14:textId="77777777" w:rsidR="003D638D" w:rsidRDefault="003D638D" w:rsidP="003D638D">
            <w:pPr>
              <w:jc w:val="center"/>
            </w:pPr>
          </w:p>
          <w:p w14:paraId="3906D27A" w14:textId="26EC26E7" w:rsidR="003D638D" w:rsidRDefault="003D638D" w:rsidP="003D638D">
            <w:pPr>
              <w:jc w:val="center"/>
            </w:pPr>
            <w:r>
              <w:t>AfsA</w:t>
            </w:r>
          </w:p>
        </w:tc>
        <w:tc>
          <w:tcPr>
            <w:tcW w:w="1870" w:type="dxa"/>
          </w:tcPr>
          <w:p w14:paraId="55C55B00" w14:textId="09D0D9FD" w:rsidR="003D638D" w:rsidRDefault="003D638D" w:rsidP="003D638D">
            <w:r w:rsidRPr="003D638D">
              <w:t>DHVPGM</w:t>
            </w:r>
          </w:p>
        </w:tc>
        <w:tc>
          <w:tcPr>
            <w:tcW w:w="3194" w:type="dxa"/>
          </w:tcPr>
          <w:p w14:paraId="0F40F02F" w14:textId="2EC543CF" w:rsidR="003D638D" w:rsidRDefault="003D638D" w:rsidP="003D638D">
            <w:r w:rsidRPr="003D638D">
              <w:t>CATNCCNGGNACRTGRTC</w:t>
            </w:r>
          </w:p>
        </w:tc>
      </w:tr>
      <w:tr w:rsidR="003D638D" w14:paraId="19A193D4" w14:textId="77777777" w:rsidTr="003D638D">
        <w:tc>
          <w:tcPr>
            <w:tcW w:w="1870" w:type="dxa"/>
            <w:vMerge/>
          </w:tcPr>
          <w:p w14:paraId="18C573AC" w14:textId="12446C45" w:rsidR="003D638D" w:rsidRDefault="003D638D" w:rsidP="003D638D">
            <w:pPr>
              <w:jc w:val="center"/>
            </w:pPr>
          </w:p>
        </w:tc>
        <w:tc>
          <w:tcPr>
            <w:tcW w:w="1870" w:type="dxa"/>
            <w:vMerge/>
          </w:tcPr>
          <w:p w14:paraId="69F35962" w14:textId="43E2028D" w:rsidR="003D638D" w:rsidRDefault="003D638D" w:rsidP="003D638D">
            <w:pPr>
              <w:jc w:val="center"/>
            </w:pPr>
          </w:p>
        </w:tc>
        <w:tc>
          <w:tcPr>
            <w:tcW w:w="1870" w:type="dxa"/>
          </w:tcPr>
          <w:p w14:paraId="37B904E1" w14:textId="18C10075" w:rsidR="003D638D" w:rsidRDefault="003D638D" w:rsidP="003D638D">
            <w:r w:rsidRPr="003D638D">
              <w:t>DHVPGL</w:t>
            </w:r>
          </w:p>
        </w:tc>
        <w:tc>
          <w:tcPr>
            <w:tcW w:w="3194" w:type="dxa"/>
          </w:tcPr>
          <w:p w14:paraId="4FFD0461" w14:textId="0413A15F" w:rsidR="003D638D" w:rsidRDefault="003D638D" w:rsidP="003D638D">
            <w:r w:rsidRPr="003D638D">
              <w:t>NARNCCNGGNACRTGRTC</w:t>
            </w:r>
          </w:p>
        </w:tc>
      </w:tr>
      <w:tr w:rsidR="003D638D" w14:paraId="0F85C9BE" w14:textId="77777777" w:rsidTr="003D638D">
        <w:tc>
          <w:tcPr>
            <w:tcW w:w="1870" w:type="dxa"/>
            <w:vMerge/>
          </w:tcPr>
          <w:p w14:paraId="66B0F43F" w14:textId="0A621B37" w:rsidR="003D638D" w:rsidRDefault="003D638D" w:rsidP="003D638D">
            <w:pPr>
              <w:jc w:val="center"/>
            </w:pPr>
          </w:p>
        </w:tc>
        <w:tc>
          <w:tcPr>
            <w:tcW w:w="1870" w:type="dxa"/>
            <w:vMerge/>
          </w:tcPr>
          <w:p w14:paraId="2D96F2A0" w14:textId="60480C1B" w:rsidR="003D638D" w:rsidRDefault="003D638D" w:rsidP="003D638D">
            <w:pPr>
              <w:jc w:val="center"/>
            </w:pPr>
          </w:p>
        </w:tc>
        <w:tc>
          <w:tcPr>
            <w:tcW w:w="1870" w:type="dxa"/>
          </w:tcPr>
          <w:p w14:paraId="12E6A085" w14:textId="1A4EEF37" w:rsidR="003D638D" w:rsidRDefault="003D638D" w:rsidP="003D638D">
            <w:r w:rsidRPr="003D638D">
              <w:t>EVFVTD</w:t>
            </w:r>
          </w:p>
        </w:tc>
        <w:tc>
          <w:tcPr>
            <w:tcW w:w="3194" w:type="dxa"/>
          </w:tcPr>
          <w:p w14:paraId="34A8D13A" w14:textId="61D722AE" w:rsidR="003D638D" w:rsidRDefault="003D638D" w:rsidP="003D638D">
            <w:r w:rsidRPr="003D638D">
              <w:t>RTCNGTNACRAANACYTC</w:t>
            </w:r>
          </w:p>
        </w:tc>
      </w:tr>
      <w:tr w:rsidR="003D638D" w14:paraId="012B06BF" w14:textId="77777777" w:rsidTr="003D638D">
        <w:tc>
          <w:tcPr>
            <w:tcW w:w="1870" w:type="dxa"/>
            <w:vMerge/>
          </w:tcPr>
          <w:p w14:paraId="1A992656" w14:textId="3DB4F353" w:rsidR="003D638D" w:rsidRDefault="003D638D" w:rsidP="003D638D">
            <w:pPr>
              <w:jc w:val="center"/>
            </w:pPr>
          </w:p>
        </w:tc>
        <w:tc>
          <w:tcPr>
            <w:tcW w:w="1870" w:type="dxa"/>
            <w:vMerge/>
          </w:tcPr>
          <w:p w14:paraId="00608072" w14:textId="3731F53B" w:rsidR="003D638D" w:rsidRDefault="003D638D" w:rsidP="003D638D">
            <w:pPr>
              <w:jc w:val="center"/>
            </w:pPr>
          </w:p>
        </w:tc>
        <w:tc>
          <w:tcPr>
            <w:tcW w:w="1870" w:type="dxa"/>
          </w:tcPr>
          <w:p w14:paraId="112C48AB" w14:textId="6D10A0F0" w:rsidR="003D638D" w:rsidRDefault="003D638D" w:rsidP="003D638D">
            <w:r w:rsidRPr="003D638D">
              <w:t>RYVELD</w:t>
            </w:r>
          </w:p>
        </w:tc>
        <w:tc>
          <w:tcPr>
            <w:tcW w:w="3194" w:type="dxa"/>
          </w:tcPr>
          <w:p w14:paraId="6AEC84E3" w14:textId="3EFD97D1" w:rsidR="003D638D" w:rsidRDefault="003D638D" w:rsidP="003D638D">
            <w:r w:rsidRPr="003D638D">
              <w:t>RTCNARYTCNACRTANCK</w:t>
            </w:r>
          </w:p>
        </w:tc>
      </w:tr>
      <w:tr w:rsidR="003D638D" w14:paraId="52188798" w14:textId="77777777" w:rsidTr="003D638D">
        <w:tc>
          <w:tcPr>
            <w:tcW w:w="1870" w:type="dxa"/>
            <w:vMerge/>
          </w:tcPr>
          <w:p w14:paraId="3B2CB15B" w14:textId="61CECD1B" w:rsidR="003D638D" w:rsidRDefault="003D638D" w:rsidP="003D638D">
            <w:pPr>
              <w:jc w:val="center"/>
            </w:pPr>
          </w:p>
        </w:tc>
        <w:tc>
          <w:tcPr>
            <w:tcW w:w="1870" w:type="dxa"/>
            <w:vMerge/>
          </w:tcPr>
          <w:p w14:paraId="3C9CB0F2" w14:textId="6F4EB1E8" w:rsidR="003D638D" w:rsidRDefault="003D638D" w:rsidP="003D638D">
            <w:pPr>
              <w:jc w:val="center"/>
            </w:pPr>
          </w:p>
        </w:tc>
        <w:tc>
          <w:tcPr>
            <w:tcW w:w="1870" w:type="dxa"/>
          </w:tcPr>
          <w:p w14:paraId="623D194A" w14:textId="661AC138" w:rsidR="003D638D" w:rsidRDefault="003D638D" w:rsidP="003D638D">
            <w:r w:rsidRPr="003D638D">
              <w:t>AETIRQ</w:t>
            </w:r>
          </w:p>
        </w:tc>
        <w:tc>
          <w:tcPr>
            <w:tcW w:w="3194" w:type="dxa"/>
          </w:tcPr>
          <w:p w14:paraId="5D0022DE" w14:textId="73F6BF60" w:rsidR="003D638D" w:rsidRDefault="003D638D" w:rsidP="003D638D">
            <w:r w:rsidRPr="003D638D">
              <w:t>YTGNCKDATNGTYTCNGC</w:t>
            </w:r>
          </w:p>
        </w:tc>
      </w:tr>
    </w:tbl>
    <w:p w14:paraId="6DC84CC7" w14:textId="77777777" w:rsidR="003D638D" w:rsidRDefault="003D638D" w:rsidP="003D638D"/>
    <w:p w14:paraId="0653E5B0" w14:textId="2E4CB490" w:rsidR="00256638" w:rsidRDefault="003972F6" w:rsidP="009E6EEA">
      <w:pPr>
        <w:ind w:firstLine="720"/>
      </w:pPr>
      <w:r>
        <w:t xml:space="preserve">Primer specificity was tested by </w:t>
      </w:r>
      <w:r>
        <w:rPr>
          <w:i/>
        </w:rPr>
        <w:t>in silico</w:t>
      </w:r>
      <w:r>
        <w:t xml:space="preserve"> PCR of both </w:t>
      </w:r>
      <w:r>
        <w:rPr>
          <w:i/>
        </w:rPr>
        <w:t xml:space="preserve">S. coelicolor A3(2) </w:t>
      </w:r>
      <w:r w:rsidRPr="009E6EEA">
        <w:t>and</w:t>
      </w:r>
      <w:r>
        <w:rPr>
          <w:i/>
        </w:rPr>
        <w:t xml:space="preserve"> E. coli</w:t>
      </w:r>
      <w:r>
        <w:t xml:space="preserve"> transcriptomes with BIOBIKE function ‘Run-PCR’ -</w:t>
      </w:r>
      <w:r>
        <w:rPr>
          <w:i/>
        </w:rPr>
        <w:t>degenerate</w:t>
      </w:r>
      <w:r>
        <w:t xml:space="preserve">. Neither </w:t>
      </w:r>
      <w:r w:rsidR="00D23AAC">
        <w:t>transcriptome</w:t>
      </w:r>
      <w:r>
        <w:t xml:space="preserve"> </w:t>
      </w:r>
      <w:r w:rsidR="00A11C80">
        <w:t>gave an amplicon</w:t>
      </w:r>
      <w:r w:rsidR="00D23AAC">
        <w:t>. A</w:t>
      </w:r>
      <w:r w:rsidR="00A11C80">
        <w:t>fter</w:t>
      </w:r>
      <w:r>
        <w:t xml:space="preserve"> introduction of an artificial PKS/AfsA hybrid transcript (tautomycin-PKS/srrX)</w:t>
      </w:r>
      <w:r w:rsidR="0074235D">
        <w:t>,</w:t>
      </w:r>
      <w:r w:rsidR="00A11C80">
        <w:t xml:space="preserve"> both transcriptomes gave </w:t>
      </w:r>
      <w:r w:rsidR="00F15B05">
        <w:t>five</w:t>
      </w:r>
      <w:r w:rsidR="00A11C80">
        <w:t xml:space="preserve"> amplicons, consistent with the number of modules</w:t>
      </w:r>
      <w:r w:rsidR="00FA13A1">
        <w:t xml:space="preserve"> present in</w:t>
      </w:r>
      <w:r w:rsidR="00D23AAC">
        <w:t xml:space="preserve"> the PKS portion from tautomycin</w:t>
      </w:r>
      <w:r w:rsidR="00F15B05">
        <w:t xml:space="preserve"> (each containing one KS domain)</w:t>
      </w:r>
      <w:r>
        <w:t>.</w:t>
      </w:r>
      <w:r w:rsidR="00D23AAC">
        <w:t xml:space="preserve"> </w:t>
      </w:r>
      <w:r w:rsidR="00F15B05">
        <w:t xml:space="preserve">The tautomycin PKS gene portion represents a Type I modular PKS. </w:t>
      </w:r>
      <w:r>
        <w:t xml:space="preserve">KS domains </w:t>
      </w:r>
      <w:r w:rsidR="00D23AAC">
        <w:t xml:space="preserve">from tautomycin </w:t>
      </w:r>
      <w:r>
        <w:t xml:space="preserve">were not among the 17 sequences used </w:t>
      </w:r>
      <w:r w:rsidR="00A11C80">
        <w:t>above</w:t>
      </w:r>
      <w:r w:rsidR="00D23AAC">
        <w:t xml:space="preserve"> for forward primer design. </w:t>
      </w:r>
      <w:r w:rsidR="00F15B05">
        <w:t>The</w:t>
      </w:r>
      <w:r w:rsidR="00D23AAC">
        <w:t xml:space="preserve"> </w:t>
      </w:r>
      <w:r w:rsidR="00A11C80">
        <w:t xml:space="preserve">srrX </w:t>
      </w:r>
      <w:r w:rsidR="00F15B05">
        <w:t xml:space="preserve">gene portion </w:t>
      </w:r>
      <w:r w:rsidR="00A11C80">
        <w:t>is responsible for synthesis of</w:t>
      </w:r>
      <w:r w:rsidR="00D23AAC">
        <w:t xml:space="preserve"> the A-factor homologues</w:t>
      </w:r>
      <w:r w:rsidR="00A11C80">
        <w:t xml:space="preserve"> SRB1 and SRB2</w:t>
      </w:r>
      <w:r w:rsidR="0074235D">
        <w:t xml:space="preserve"> from Figure </w:t>
      </w:r>
      <w:r w:rsidR="005471CF">
        <w:t>4</w:t>
      </w:r>
      <w:r w:rsidR="00A11C80">
        <w:t xml:space="preserve"> in </w:t>
      </w:r>
      <w:r w:rsidR="00A11C80">
        <w:rPr>
          <w:i/>
        </w:rPr>
        <w:t>S. rochei</w:t>
      </w:r>
      <w:r w:rsidR="00D23AAC">
        <w:t xml:space="preserve">. </w:t>
      </w:r>
      <w:r w:rsidR="00A11C80">
        <w:t xml:space="preserve"> </w:t>
      </w:r>
    </w:p>
    <w:p w14:paraId="01995E48" w14:textId="358DD318" w:rsidR="00B35784" w:rsidRDefault="00B35784" w:rsidP="009E6EEA">
      <w:pPr>
        <w:ind w:firstLine="720"/>
      </w:pPr>
      <w:r>
        <w:t xml:space="preserve">Relatively few publications exist concerning amplification of endophytic transcripts directly from host tissue. </w:t>
      </w:r>
      <w:r w:rsidR="00C0463A" w:rsidRPr="00C0463A">
        <w:t>Terakado-Tonooka</w:t>
      </w:r>
      <w:r w:rsidR="002F0603">
        <w:t xml:space="preserve"> et al</w:t>
      </w:r>
      <w:r w:rsidR="00C0463A">
        <w:t xml:space="preserve"> (2008)</w:t>
      </w:r>
      <w:r w:rsidR="00556461">
        <w:t xml:space="preserve"> showed </w:t>
      </w:r>
      <w:r w:rsidR="00C0463A">
        <w:t>this</w:t>
      </w:r>
      <w:r w:rsidR="00556461">
        <w:t xml:space="preserve"> was possible when they</w:t>
      </w:r>
      <w:r w:rsidR="002F0603">
        <w:t xml:space="preserve"> </w:t>
      </w:r>
      <w:r w:rsidR="00744A11">
        <w:t>amplified</w:t>
      </w:r>
      <w:r w:rsidR="002F0603">
        <w:t xml:space="preserve"> </w:t>
      </w:r>
      <w:r w:rsidR="00740405">
        <w:t xml:space="preserve">diazotrophic (nitrogen-fixing) </w:t>
      </w:r>
      <w:r w:rsidR="00744A11">
        <w:t>endophyte transcripts from sweet</w:t>
      </w:r>
      <w:r w:rsidR="000A0249">
        <w:t xml:space="preserve"> potato. The</w:t>
      </w:r>
      <w:r w:rsidR="00744A11">
        <w:t xml:space="preserve"> authors noticed that </w:t>
      </w:r>
      <w:r w:rsidR="00556461">
        <w:t>protein amounts in sweet potatoes w</w:t>
      </w:r>
      <w:r w:rsidR="00740405">
        <w:t>ere</w:t>
      </w:r>
      <w:r w:rsidR="00744A11">
        <w:t xml:space="preserve"> considerably higher than what could be explained by fertilizer and soil nitrogen alone. They hypothesized that nitrogen fixing bacteria were</w:t>
      </w:r>
      <w:r w:rsidR="00740405">
        <w:t xml:space="preserve"> responsible</w:t>
      </w:r>
      <w:r w:rsidR="00744A11">
        <w:t xml:space="preserve"> for the </w:t>
      </w:r>
      <w:r w:rsidR="00740405">
        <w:t>discrepancy between nitrogen and</w:t>
      </w:r>
      <w:r w:rsidR="00744A11">
        <w:t xml:space="preserve"> protein observed. To overcome the difficulties with studying</w:t>
      </w:r>
      <w:r w:rsidR="000A0249">
        <w:t xml:space="preserve"> endophyte</w:t>
      </w:r>
      <w:r w:rsidR="00744A11">
        <w:t xml:space="preserve"> gene expression </w:t>
      </w:r>
      <w:r w:rsidR="00744A11" w:rsidRPr="009E6EEA">
        <w:rPr>
          <w:i/>
        </w:rPr>
        <w:t>in vitro</w:t>
      </w:r>
      <w:r w:rsidR="00744A11">
        <w:t xml:space="preserve"> (see Introduction)</w:t>
      </w:r>
      <w:r w:rsidR="0074235D">
        <w:t>,</w:t>
      </w:r>
      <w:r w:rsidR="00744A11">
        <w:t xml:space="preserve"> they opted to measure transcript levels directly from host tissue. They chose to target</w:t>
      </w:r>
      <w:r>
        <w:t xml:space="preserve"> the</w:t>
      </w:r>
      <w:r w:rsidR="00744A11">
        <w:t xml:space="preserve"> gene nifH, a bacterial</w:t>
      </w:r>
      <w:r w:rsidR="002F0603">
        <w:t xml:space="preserve"> </w:t>
      </w:r>
      <w:r w:rsidR="00744A11">
        <w:t>nitrogenase reductase, unique and specific to nitrogen fixing bacteria.</w:t>
      </w:r>
      <w:r w:rsidR="00740405">
        <w:t xml:space="preserve"> The workflow proceeded as follows. First sweet potatoes were harvested, surface sterilized (to ensure only true endophytes were observed). Sweet potato was frozen under liquid nitrogen to preserve the relatively unstable</w:t>
      </w:r>
      <w:r w:rsidR="0074235D">
        <w:t xml:space="preserve"> bacterial</w:t>
      </w:r>
      <w:r w:rsidR="00740405">
        <w:t xml:space="preserve"> </w:t>
      </w:r>
      <w:r w:rsidR="0074235D">
        <w:t>m</w:t>
      </w:r>
      <w:r w:rsidR="00740405">
        <w:t>RNA. Tissue was then ground to a fine powder with mortar and pestle under liquid nitrogen. RNA was extracted using the SDS method followed by further purification and finally DNase I treatment</w:t>
      </w:r>
      <w:r w:rsidR="0074235D">
        <w:t>. F</w:t>
      </w:r>
      <w:r w:rsidR="00556461">
        <w:t xml:space="preserve">irst strand cDNA synthesis was prepared by </w:t>
      </w:r>
      <w:r w:rsidR="00740405">
        <w:t>incubation with random hexamers</w:t>
      </w:r>
      <w:r w:rsidR="00556461">
        <w:t>.</w:t>
      </w:r>
      <w:r w:rsidR="00740405">
        <w:t xml:space="preserve"> PCR was performed first with four degenerate primers targeting a wide variety of bacterial nifH genes (explicit design steps were not discussed). Nested PCR was carried out by two degenerate primer sequences conserved in all nifH genes.</w:t>
      </w:r>
      <w:r w:rsidR="00744A11">
        <w:t xml:space="preserve"> High concentrations of nifH transcripts</w:t>
      </w:r>
      <w:r w:rsidR="00534A43">
        <w:t xml:space="preserve"> (360bp)</w:t>
      </w:r>
      <w:r w:rsidR="00744A11">
        <w:t xml:space="preserve"> </w:t>
      </w:r>
      <w:r>
        <w:t>in the sweet potato</w:t>
      </w:r>
      <w:r w:rsidR="00744A11">
        <w:t xml:space="preserve"> samples implicated bacterial endophytes</w:t>
      </w:r>
      <w:r w:rsidR="00976C53">
        <w:t xml:space="preserve"> for</w:t>
      </w:r>
      <w:r w:rsidR="00744A11">
        <w:t xml:space="preserve"> the excess protein observed in the host. </w:t>
      </w:r>
    </w:p>
    <w:p w14:paraId="29937BA2" w14:textId="38EAA565" w:rsidR="00CD7085" w:rsidRPr="009C3180" w:rsidRDefault="00976C53" w:rsidP="009E6EEA">
      <w:r>
        <w:tab/>
      </w:r>
      <w:r w:rsidR="00F253E0">
        <w:t>The</w:t>
      </w:r>
      <w:r w:rsidR="0074235D">
        <w:t xml:space="preserve"> sweet potato/</w:t>
      </w:r>
      <w:r>
        <w:t>diazotroph example is useful to s</w:t>
      </w:r>
      <w:r w:rsidR="00F253E0">
        <w:t xml:space="preserve">how the logical parallels between </w:t>
      </w:r>
      <w:r w:rsidR="0074235D">
        <w:t>it</w:t>
      </w:r>
      <w:r w:rsidR="00F253E0">
        <w:t xml:space="preserve"> and the current proposal. </w:t>
      </w:r>
      <w:r w:rsidR="00BC6092">
        <w:t>In both cases, an</w:t>
      </w:r>
      <w:r>
        <w:t xml:space="preserve"> anomalous trait </w:t>
      </w:r>
      <w:r w:rsidR="00F253E0">
        <w:t xml:space="preserve">(protein/ACG) </w:t>
      </w:r>
      <w:r>
        <w:t>in a plant host</w:t>
      </w:r>
      <w:r w:rsidR="00F253E0">
        <w:t xml:space="preserve"> (sweet potato/Annonaceae)</w:t>
      </w:r>
      <w:r>
        <w:t xml:space="preserve"> </w:t>
      </w:r>
      <w:r w:rsidR="00BC6092">
        <w:t xml:space="preserve">is linked </w:t>
      </w:r>
      <w:r>
        <w:t>to a hypothetical</w:t>
      </w:r>
      <w:r w:rsidR="00F253E0">
        <w:t xml:space="preserve"> endoph</w:t>
      </w:r>
      <w:r w:rsidR="00AF143A">
        <w:t>yte (diazotroph/</w:t>
      </w:r>
      <w:r w:rsidR="00F253E0">
        <w:rPr>
          <w:i/>
        </w:rPr>
        <w:t>Streptomyces</w:t>
      </w:r>
      <w:r w:rsidR="00F253E0">
        <w:t xml:space="preserve">) by </w:t>
      </w:r>
      <w:r w:rsidR="00AF143A">
        <w:t xml:space="preserve">direct </w:t>
      </w:r>
      <w:r w:rsidR="00F253E0">
        <w:t>ampl</w:t>
      </w:r>
      <w:r w:rsidR="00AF143A">
        <w:t>ification of bacteria-</w:t>
      </w:r>
      <w:r w:rsidR="00F253E0">
        <w:t>spe</w:t>
      </w:r>
      <w:r w:rsidR="00AF143A">
        <w:t xml:space="preserve">cific gene transcript </w:t>
      </w:r>
      <w:r w:rsidR="00F253E0">
        <w:t>(nifH/PKS-AfsA).</w:t>
      </w:r>
      <w:r>
        <w:t xml:space="preserve"> </w:t>
      </w:r>
      <w:r w:rsidR="00AF143A">
        <w:t xml:space="preserve">While the current proposal will largely adhere to the methodology of </w:t>
      </w:r>
      <w:r w:rsidR="00C0463A" w:rsidRPr="00C0463A">
        <w:t>Terakado-Tonooka</w:t>
      </w:r>
      <w:r w:rsidR="00AF143A">
        <w:t xml:space="preserve"> et al, it will diverge in important ways due to </w:t>
      </w:r>
      <w:r w:rsidR="00DA13AC">
        <w:t xml:space="preserve">a </w:t>
      </w:r>
      <w:r w:rsidR="00AF143A">
        <w:t>difference in predicted amplicon size</w:t>
      </w:r>
      <w:r w:rsidR="00BC6092">
        <w:t xml:space="preserve"> and quantity</w:t>
      </w:r>
      <w:r w:rsidR="00AF143A">
        <w:t>. Fo</w:t>
      </w:r>
      <w:r w:rsidR="0074235D">
        <w:t>r RNA extraction, Holmes et al (</w:t>
      </w:r>
      <w:r w:rsidR="00AF143A">
        <w:t>2014</w:t>
      </w:r>
      <w:r w:rsidR="0074235D">
        <w:t>)</w:t>
      </w:r>
      <w:r w:rsidR="00AF143A">
        <w:t xml:space="preserve"> reports an optimized method for RNA extraction from </w:t>
      </w:r>
      <w:r w:rsidR="00C551D3">
        <w:t xml:space="preserve">a </w:t>
      </w:r>
      <w:r w:rsidR="00AF143A">
        <w:t>mixed bacterial/host sample by a combination of bead beating and chemical treatment</w:t>
      </w:r>
      <w:r w:rsidR="00C551D3">
        <w:t xml:space="preserve"> (LiCl)</w:t>
      </w:r>
      <w:r w:rsidR="00AF143A">
        <w:t xml:space="preserve"> to recover larger amounts of bacterial RNA than that used by </w:t>
      </w:r>
      <w:r w:rsidR="00C551D3" w:rsidRPr="00C0463A">
        <w:t>Terakado-Tonooka</w:t>
      </w:r>
      <w:r w:rsidR="00C551D3">
        <w:t xml:space="preserve"> </w:t>
      </w:r>
      <w:r w:rsidR="00AF143A">
        <w:t xml:space="preserve">et al. </w:t>
      </w:r>
      <w:r w:rsidR="00BC6092">
        <w:t xml:space="preserve">This is important since the concentration of PKS-AfsA transcripts could be very </w:t>
      </w:r>
      <w:r w:rsidR="00BC6092">
        <w:lastRenderedPageBreak/>
        <w:t>low. During cDNA synthesis instead of random primers, the</w:t>
      </w:r>
      <w:r w:rsidR="00C551D3">
        <w:t xml:space="preserve"> AfsA</w:t>
      </w:r>
      <w:r w:rsidR="00BC6092">
        <w:t xml:space="preserve"> reverse primers will be employed </w:t>
      </w:r>
      <w:r w:rsidR="00DA13AC">
        <w:t>since the former</w:t>
      </w:r>
      <w:r w:rsidR="00BC6092">
        <w:t xml:space="preserve"> yield</w:t>
      </w:r>
      <w:r w:rsidR="00DA13AC">
        <w:t>s</w:t>
      </w:r>
      <w:r w:rsidR="00BC6092">
        <w:t xml:space="preserve"> many truncated transcripts. PCR will be performed by </w:t>
      </w:r>
      <w:r w:rsidR="00C551D3">
        <w:t>redular</w:t>
      </w:r>
      <w:r w:rsidR="00BC6092">
        <w:t xml:space="preserve"> PCR using the previously discussed KS and AfsA degenerate primers.</w:t>
      </w:r>
      <w:r w:rsidR="004229DA">
        <w:t xml:space="preserve"> The extension step for each cycle will be lengthened to account for the long expected amplicon.</w:t>
      </w:r>
      <w:r w:rsidR="00267FDA">
        <w:t xml:space="preserve"> </w:t>
      </w:r>
      <w:r w:rsidR="009C3180">
        <w:t xml:space="preserve">Per Holmes </w:t>
      </w:r>
      <w:r w:rsidR="00DA13AC">
        <w:t>et al (</w:t>
      </w:r>
      <w:r w:rsidR="009C3180">
        <w:t>2014</w:t>
      </w:r>
      <w:r w:rsidR="00DA13AC">
        <w:t>)</w:t>
      </w:r>
      <w:r w:rsidR="009C3180">
        <w:t xml:space="preserve">, amplification of a bacterial house-keeping gene </w:t>
      </w:r>
      <w:r w:rsidR="004229DA">
        <w:t>indicates</w:t>
      </w:r>
      <w:r w:rsidR="009C3180">
        <w:t xml:space="preserve"> RNA extraction and PCR </w:t>
      </w:r>
      <w:r w:rsidR="004229DA">
        <w:t>have not had major issues. This</w:t>
      </w:r>
      <w:r w:rsidR="009C3180">
        <w:t xml:space="preserve"> has the added benefit of showing whether or not the expected bacteria is present and metabo</w:t>
      </w:r>
      <w:r w:rsidR="00DA13AC">
        <w:t>lically active</w:t>
      </w:r>
      <w:r w:rsidR="004229DA">
        <w:t xml:space="preserve"> in the host tissue</w:t>
      </w:r>
      <w:r w:rsidR="00DA13AC">
        <w:t>. Laskaris et al (</w:t>
      </w:r>
      <w:r w:rsidR="009C3180">
        <w:t>2012</w:t>
      </w:r>
      <w:r w:rsidR="00DA13AC">
        <w:t>)</w:t>
      </w:r>
      <w:r w:rsidR="004507CB">
        <w:t xml:space="preserve"> </w:t>
      </w:r>
      <w:r w:rsidR="00C551D3">
        <w:t>shows that</w:t>
      </w:r>
      <w:r w:rsidR="009C3180">
        <w:t xml:space="preserve"> </w:t>
      </w:r>
      <w:r w:rsidR="00E62C6A">
        <w:t xml:space="preserve">the </w:t>
      </w:r>
      <w:r w:rsidR="009C3180">
        <w:t>atpD (an ATP synthase) house</w:t>
      </w:r>
      <w:r w:rsidR="00DA13AC">
        <w:t>-</w:t>
      </w:r>
      <w:r w:rsidR="004229DA">
        <w:t xml:space="preserve">keeping gene </w:t>
      </w:r>
      <w:r w:rsidR="00E62C6A">
        <w:t>is</w:t>
      </w:r>
      <w:r w:rsidR="004229DA">
        <w:t xml:space="preserve"> highly conserved</w:t>
      </w:r>
      <w:r w:rsidR="00E62C6A">
        <w:t xml:space="preserve"> and </w:t>
      </w:r>
      <w:r w:rsidR="00E62C6A">
        <w:rPr>
          <w:i/>
        </w:rPr>
        <w:t>Streptomyces-</w:t>
      </w:r>
      <w:r w:rsidR="00E62C6A">
        <w:t>specific primers could be designed for atpD</w:t>
      </w:r>
      <w:r w:rsidR="009C3180">
        <w:t>. cDNA</w:t>
      </w:r>
      <w:r w:rsidR="00DA13AC">
        <w:t xml:space="preserve"> preparation</w:t>
      </w:r>
      <w:r w:rsidR="009C3180">
        <w:t xml:space="preserve"> and PCR of atpD will be performed per the original article. Finally</w:t>
      </w:r>
      <w:r w:rsidR="009D5B8F">
        <w:t>,</w:t>
      </w:r>
      <w:r w:rsidR="009C3180">
        <w:t xml:space="preserve"> gel electrophoresis will be used to visualize the experimental PKS-AfsA </w:t>
      </w:r>
      <w:r w:rsidR="009D5B8F">
        <w:t xml:space="preserve">and </w:t>
      </w:r>
      <w:r w:rsidR="009C3180">
        <w:t>atpD</w:t>
      </w:r>
      <w:r w:rsidR="009D5B8F">
        <w:t xml:space="preserve"> amplicons.</w:t>
      </w:r>
      <w:r w:rsidR="009C3180">
        <w:t xml:space="preserve"> </w:t>
      </w:r>
    </w:p>
    <w:p w14:paraId="1FA75B3E" w14:textId="77777777" w:rsidR="004229DA" w:rsidRDefault="004229DA" w:rsidP="00A07244"/>
    <w:p w14:paraId="376E113F" w14:textId="3935C0BC" w:rsidR="00C746DC" w:rsidRDefault="00C746DC" w:rsidP="00A07244">
      <w:pPr>
        <w:rPr>
          <w:b/>
        </w:rPr>
      </w:pPr>
      <w:r w:rsidRPr="00C746DC">
        <w:rPr>
          <w:b/>
        </w:rPr>
        <w:t>Discussion</w:t>
      </w:r>
    </w:p>
    <w:p w14:paraId="07B373E8" w14:textId="23E39DC8" w:rsidR="0066203D" w:rsidRPr="00AE74E0" w:rsidRDefault="0066203D" w:rsidP="009E6EEA">
      <w:pPr>
        <w:rPr>
          <w:b/>
        </w:rPr>
      </w:pPr>
      <w:r w:rsidRPr="00AE74E0">
        <w:rPr>
          <w:b/>
        </w:rPr>
        <w:t>Result Interpretations</w:t>
      </w:r>
    </w:p>
    <w:p w14:paraId="44280007" w14:textId="04307DE9" w:rsidR="000D0A4D" w:rsidRPr="002D5859" w:rsidRDefault="00B10196" w:rsidP="000D0A4D">
      <w:r>
        <w:t xml:space="preserve">I. </w:t>
      </w:r>
      <w:r w:rsidR="000D0A4D" w:rsidRPr="002D5859">
        <w:t>Control Positive</w:t>
      </w:r>
    </w:p>
    <w:p w14:paraId="4D95D73F" w14:textId="2BA6FB81" w:rsidR="000D0A4D" w:rsidRPr="002D5859" w:rsidRDefault="000D0A4D" w:rsidP="000D0A4D">
      <w:pPr>
        <w:ind w:firstLine="720"/>
      </w:pPr>
      <w:r>
        <w:t xml:space="preserve">The most likely explanation is the </w:t>
      </w:r>
      <w:r w:rsidRPr="002D5859">
        <w:t>presence of</w:t>
      </w:r>
      <w:r>
        <w:t xml:space="preserve"> metabolically active </w:t>
      </w:r>
      <w:r w:rsidRPr="002D5859">
        <w:rPr>
          <w:i/>
        </w:rPr>
        <w:t>Streptomyces</w:t>
      </w:r>
      <w:r>
        <w:t xml:space="preserve">. </w:t>
      </w:r>
      <w:r w:rsidR="00E62C6A">
        <w:t>Laskaris</w:t>
      </w:r>
      <w:r>
        <w:t xml:space="preserve"> et al </w:t>
      </w:r>
      <w:r w:rsidR="00E62C6A">
        <w:t>report</w:t>
      </w:r>
      <w:r>
        <w:t xml:space="preserve"> that their atpD </w:t>
      </w:r>
      <w:r w:rsidRPr="00921380">
        <w:rPr>
          <w:i/>
        </w:rPr>
        <w:t>Streptomyces</w:t>
      </w:r>
      <w:r>
        <w:t xml:space="preserve"> primers occasionally </w:t>
      </w:r>
      <w:r w:rsidRPr="002D5859">
        <w:t>non-</w:t>
      </w:r>
      <w:r w:rsidRPr="000D0A4D">
        <w:t>specific</w:t>
      </w:r>
      <w:r>
        <w:t>ally</w:t>
      </w:r>
      <w:r w:rsidRPr="002D5859">
        <w:t xml:space="preserve"> </w:t>
      </w:r>
      <w:r>
        <w:t>amplify</w:t>
      </w:r>
      <w:r w:rsidRPr="002D5859">
        <w:t xml:space="preserve"> </w:t>
      </w:r>
      <w:hyperlink r:id="rId12" w:history="1">
        <w:r w:rsidRPr="002D5859">
          <w:rPr>
            <w:i/>
          </w:rPr>
          <w:t>Nocardioides</w:t>
        </w:r>
      </w:hyperlink>
      <w:r>
        <w:t xml:space="preserve"> atpD. This genus is relatively rare and should not present significant issues. </w:t>
      </w:r>
    </w:p>
    <w:p w14:paraId="1E8755E1" w14:textId="411826DB" w:rsidR="0066203D" w:rsidRPr="009E6EEA" w:rsidRDefault="00B10196" w:rsidP="009E6EEA">
      <w:r>
        <w:t xml:space="preserve">II. </w:t>
      </w:r>
      <w:r w:rsidR="0066203D" w:rsidRPr="009E6EEA">
        <w:t>Control Negative</w:t>
      </w:r>
    </w:p>
    <w:p w14:paraId="43D899CC" w14:textId="46F85A7D" w:rsidR="0066203D" w:rsidRPr="009E6EEA" w:rsidRDefault="004229DA" w:rsidP="009E6EEA">
      <w:pPr>
        <w:ind w:firstLine="720"/>
      </w:pPr>
      <w:r>
        <w:t>If no atpD band is present, this could be explained by several things. Firstly and most likely, PCR could have gone awry for a multitude of reasons. The problem should be identified</w:t>
      </w:r>
      <w:r w:rsidR="000D0A4D">
        <w:t>, corrected,</w:t>
      </w:r>
      <w:r>
        <w:t xml:space="preserve"> and the experiment attempted again. Secondly and less likely, the transcript is below the detection limit of PCR. More extreme efforts to concentrate </w:t>
      </w:r>
      <w:r w:rsidR="00D66B95">
        <w:t xml:space="preserve">bacterial transcripts need to be taken, such as those </w:t>
      </w:r>
      <w:r w:rsidR="00921380">
        <w:t>known</w:t>
      </w:r>
      <w:r w:rsidR="00D66B95">
        <w:t xml:space="preserve"> to deplete poly-A mRNA and rRNA (</w:t>
      </w:r>
      <w:r w:rsidR="00E62C6A">
        <w:t>Szabo and</w:t>
      </w:r>
      <w:r w:rsidR="00E62C6A" w:rsidRPr="00E62C6A">
        <w:t xml:space="preserve"> Salzman</w:t>
      </w:r>
      <w:r w:rsidR="00E62C6A">
        <w:t>, 2016</w:t>
      </w:r>
      <w:r w:rsidR="00D66B95">
        <w:t xml:space="preserve">). Lastly and least likely, there is a true absence of metabolically active </w:t>
      </w:r>
      <w:r w:rsidR="00D66B95">
        <w:rPr>
          <w:i/>
        </w:rPr>
        <w:t>Streptomyces</w:t>
      </w:r>
      <w:r w:rsidR="00D66B95">
        <w:t xml:space="preserve"> within the sample. Several authors have described endophytic </w:t>
      </w:r>
      <w:r w:rsidR="00D66B95">
        <w:rPr>
          <w:i/>
        </w:rPr>
        <w:t>Streptomyces</w:t>
      </w:r>
      <w:r w:rsidR="00D66B95">
        <w:t xml:space="preserve"> from Annonaceae (</w:t>
      </w:r>
      <w:r w:rsidR="00C11B32">
        <w:t>Wu et al</w:t>
      </w:r>
      <w:r w:rsidR="00921380">
        <w:t>,</w:t>
      </w:r>
      <w:r w:rsidR="00C11B32">
        <w:t xml:space="preserve"> 2009</w:t>
      </w:r>
      <w:r w:rsidR="00D66B95">
        <w:t>)</w:t>
      </w:r>
      <w:r w:rsidR="00C11B32">
        <w:t xml:space="preserve"> (</w:t>
      </w:r>
      <w:r w:rsidR="00E77E11">
        <w:t>Zin et al, 2007</w:t>
      </w:r>
      <w:r w:rsidR="00C11B32">
        <w:t>)</w:t>
      </w:r>
      <w:r w:rsidR="00D66B95">
        <w:t xml:space="preserve">. </w:t>
      </w:r>
      <w:r w:rsidR="00DD060F">
        <w:t>One possible explanation is that endophytes are often</w:t>
      </w:r>
      <w:r w:rsidR="000D0A4D">
        <w:t xml:space="preserve"> both</w:t>
      </w:r>
      <w:r w:rsidR="00DD060F">
        <w:t xml:space="preserve"> specific to certain plant organs</w:t>
      </w:r>
      <w:r w:rsidR="00B10196">
        <w:t xml:space="preserve"> </w:t>
      </w:r>
      <w:r w:rsidR="00DD060F">
        <w:t xml:space="preserve">and </w:t>
      </w:r>
      <w:r w:rsidR="000D0A4D">
        <w:t>vary with the season or host growth phase</w:t>
      </w:r>
      <w:r w:rsidR="00B10196">
        <w:t>.</w:t>
      </w:r>
    </w:p>
    <w:p w14:paraId="16BE9031" w14:textId="569772F4" w:rsidR="0066203D" w:rsidRDefault="00B10196" w:rsidP="009E6EEA">
      <w:r>
        <w:t xml:space="preserve">III. </w:t>
      </w:r>
      <w:r w:rsidR="0066203D" w:rsidRPr="009E6EEA">
        <w:t>Experimental Positive</w:t>
      </w:r>
      <w:r w:rsidR="00F25FE3">
        <w:t xml:space="preserve"> (with Control Positive)</w:t>
      </w:r>
    </w:p>
    <w:p w14:paraId="0FE8C7C3" w14:textId="50C03967" w:rsidR="0066203D" w:rsidRPr="009E6EEA" w:rsidRDefault="00921380" w:rsidP="009E6EEA">
      <w:pPr>
        <w:ind w:firstLine="720"/>
      </w:pPr>
      <w:r>
        <w:t>B</w:t>
      </w:r>
      <w:r w:rsidR="000D0A4D">
        <w:t xml:space="preserve">est possible results would be </w:t>
      </w:r>
      <w:r>
        <w:t xml:space="preserve">the </w:t>
      </w:r>
      <w:r w:rsidR="000D0A4D">
        <w:t>visualization of a single PKS-AfsA band in at least one of the</w:t>
      </w:r>
      <w:r w:rsidR="006A6EA3">
        <w:t xml:space="preserve"> experimental AfsA motif </w:t>
      </w:r>
      <w:r w:rsidR="000D0A4D">
        <w:t>lanes</w:t>
      </w:r>
      <w:r>
        <w:t>,</w:t>
      </w:r>
      <w:r w:rsidR="000D0A4D">
        <w:t xml:space="preserve"> and a single atpD band in the control lane. </w:t>
      </w:r>
      <w:r w:rsidR="00F25FE3">
        <w:t>Experimental a</w:t>
      </w:r>
      <w:r w:rsidR="000D0A4D">
        <w:t xml:space="preserve">mplicon(s) </w:t>
      </w:r>
      <w:r w:rsidR="00F25FE3">
        <w:t xml:space="preserve">are expected in the range of </w:t>
      </w:r>
      <w:r w:rsidR="000D0A4D">
        <w:t xml:space="preserve">~2-6 kb depending on </w:t>
      </w:r>
      <w:r>
        <w:t xml:space="preserve">the </w:t>
      </w:r>
      <w:r w:rsidR="000D0A4D">
        <w:t>number of optional reducing PKS domains</w:t>
      </w:r>
      <w:r w:rsidR="00F25FE3">
        <w:t xml:space="preserve"> present (see Introduction)</w:t>
      </w:r>
      <w:r>
        <w:t>,</w:t>
      </w:r>
      <w:r w:rsidR="00F25FE3">
        <w:t xml:space="preserve"> while atpD is expected around 466 bp. To determine whether this result is a true or false</w:t>
      </w:r>
      <w:r w:rsidR="00C31B49">
        <w:t xml:space="preserve"> positive, </w:t>
      </w:r>
      <w:r w:rsidR="006A6EA3">
        <w:t>the bands would be</w:t>
      </w:r>
      <w:r w:rsidR="00F25FE3">
        <w:t xml:space="preserve"> purif</w:t>
      </w:r>
      <w:r w:rsidR="006A6EA3">
        <w:t>ied and sequenced</w:t>
      </w:r>
      <w:r w:rsidR="00F25FE3">
        <w:t xml:space="preserve"> to determine their architecture and homology to known sequences. A single ORF encompassing both PKS and AfsA would indicate a true positive</w:t>
      </w:r>
      <w:r>
        <w:t>,</w:t>
      </w:r>
      <w:r w:rsidR="00F25FE3">
        <w:t xml:space="preserve"> while separate ORFs </w:t>
      </w:r>
      <w:r w:rsidR="006A6EA3">
        <w:t>and</w:t>
      </w:r>
      <w:r w:rsidR="00F25FE3">
        <w:t xml:space="preserve"> presence of a terminal thioesterase domain would indicate a polycistronic mRNA that is unlikely to be involved in ACG biosynthesis.</w:t>
      </w:r>
      <w:r w:rsidR="00C31B49">
        <w:t xml:space="preserve"> </w:t>
      </w:r>
      <w:r w:rsidR="006A6EA3">
        <w:t>Such a false positive, while unlikely, is not particularly unexpected</w:t>
      </w:r>
      <w:r w:rsidR="00B12B5B">
        <w:t>,</w:t>
      </w:r>
      <w:r w:rsidR="006A6EA3">
        <w:t xml:space="preserve"> given that AfsA-homolgues are occasionally found within </w:t>
      </w:r>
      <w:r w:rsidR="006A6EA3" w:rsidRPr="00B12B5B">
        <w:rPr>
          <w:i/>
        </w:rPr>
        <w:t>Streptomyces</w:t>
      </w:r>
      <w:r w:rsidR="006A6EA3" w:rsidRPr="002D5859">
        <w:t xml:space="preserve"> PKS</w:t>
      </w:r>
      <w:r w:rsidR="006A6EA3">
        <w:t xml:space="preserve"> gene clusters (anti-SMASH data not shown) </w:t>
      </w:r>
      <w:r w:rsidR="00B12B5B">
        <w:t>where</w:t>
      </w:r>
      <w:r w:rsidR="006A6EA3">
        <w:t xml:space="preserve"> AfsA’s relative position varies considerably (high recombination). </w:t>
      </w:r>
      <w:r w:rsidR="00C31B49">
        <w:t xml:space="preserve">If </w:t>
      </w:r>
      <w:r w:rsidR="00B12B5B">
        <w:t xml:space="preserve">the </w:t>
      </w:r>
      <w:r w:rsidR="00C31B49">
        <w:t xml:space="preserve">sequencing </w:t>
      </w:r>
      <w:r w:rsidR="0037712B">
        <w:t xml:space="preserve">of any particular band </w:t>
      </w:r>
      <w:r w:rsidR="00C31B49">
        <w:t xml:space="preserve">reveals </w:t>
      </w:r>
      <w:r w:rsidR="00B12B5B">
        <w:t xml:space="preserve">that </w:t>
      </w:r>
      <w:r w:rsidR="00C31B49">
        <w:t xml:space="preserve">one or either </w:t>
      </w:r>
      <w:r w:rsidR="00C31B49">
        <w:lastRenderedPageBreak/>
        <w:t>gene part is missing</w:t>
      </w:r>
      <w:r w:rsidR="006A6EA3">
        <w:t>,</w:t>
      </w:r>
      <w:r w:rsidR="00C31B49">
        <w:t xml:space="preserve"> this indicates </w:t>
      </w:r>
      <w:r w:rsidR="0037712B">
        <w:t xml:space="preserve">a false positive by </w:t>
      </w:r>
      <w:r w:rsidR="00C31B49">
        <w:t>non-specific amplification</w:t>
      </w:r>
      <w:r w:rsidR="0037712B">
        <w:t>. If all experimental band(s) are false positives</w:t>
      </w:r>
      <w:r w:rsidR="006A6EA3">
        <w:t>,</w:t>
      </w:r>
      <w:r w:rsidR="0037712B">
        <w:t xml:space="preserve"> </w:t>
      </w:r>
      <w:r w:rsidR="006A6EA3">
        <w:t>further steps would follow</w:t>
      </w:r>
      <w:r w:rsidR="0037712B">
        <w:t xml:space="preserve"> </w:t>
      </w:r>
      <w:r w:rsidR="00B12B5B">
        <w:t xml:space="preserve">the </w:t>
      </w:r>
      <w:r w:rsidR="0037712B">
        <w:t>Experimental False Negative</w:t>
      </w:r>
      <w:r w:rsidR="006A6EA3">
        <w:t xml:space="preserve"> below.</w:t>
      </w:r>
    </w:p>
    <w:p w14:paraId="07130D2F" w14:textId="0B21DADA" w:rsidR="0066203D" w:rsidRDefault="00B10196" w:rsidP="009E6EEA">
      <w:r>
        <w:t xml:space="preserve">IV. </w:t>
      </w:r>
      <w:r w:rsidR="0066203D" w:rsidRPr="009E6EEA">
        <w:t>Experimental False Negative (with Control Positive)</w:t>
      </w:r>
    </w:p>
    <w:p w14:paraId="30F92EEE" w14:textId="0034FE8C" w:rsidR="0066203D" w:rsidRDefault="006A6EA3" w:rsidP="009E6EEA">
      <w:r>
        <w:tab/>
        <w:t>The most likely explanation of this result would be issues revolving around cDNA synthesis of long transcripts</w:t>
      </w:r>
      <w:r w:rsidR="00833447">
        <w:t xml:space="preserve"> and</w:t>
      </w:r>
      <w:r>
        <w:t xml:space="preserve"> primer/PCR issues.</w:t>
      </w:r>
      <w:r w:rsidR="00833447">
        <w:t xml:space="preserve"> Bead beating was not shown to shear long RNA (4kb) sequences significantly (</w:t>
      </w:r>
      <w:r w:rsidR="00B10196">
        <w:t>Zecca, 2016</w:t>
      </w:r>
      <w:r w:rsidR="00833447">
        <w:t>), and RNase contamination would remove the control band as well; this</w:t>
      </w:r>
      <w:r w:rsidR="00BF20EB">
        <w:t xml:space="preserve">, however, </w:t>
      </w:r>
      <w:r w:rsidR="00833447">
        <w:t>is not predicted to be a significant cause of false negatives.</w:t>
      </w:r>
      <w:r>
        <w:t xml:space="preserve"> In the case of an experimental negative</w:t>
      </w:r>
      <w:r w:rsidR="00BF20EB">
        <w:t>,</w:t>
      </w:r>
      <w:r>
        <w:t xml:space="preserve"> the best way to</w:t>
      </w:r>
      <w:r w:rsidR="00833447">
        <w:t xml:space="preserve"> correct</w:t>
      </w:r>
      <w:r>
        <w:t xml:space="preserve"> </w:t>
      </w:r>
      <w:r w:rsidR="00BF20EB">
        <w:t xml:space="preserve">potentially </w:t>
      </w:r>
      <w:r>
        <w:t xml:space="preserve">false negatives is by cDNA/PCR optimization. Because the primers </w:t>
      </w:r>
      <w:r w:rsidR="00833447">
        <w:t xml:space="preserve">need to </w:t>
      </w:r>
      <w:r>
        <w:t>be optimized experimentally</w:t>
      </w:r>
      <w:r w:rsidR="00833447">
        <w:t>,</w:t>
      </w:r>
      <w:r>
        <w:t xml:space="preserve"> it becomes necessary to synthesize an artificial </w:t>
      </w:r>
      <w:r w:rsidR="00833447">
        <w:t>PKS-AfsA hybrid</w:t>
      </w:r>
      <w:r>
        <w:t xml:space="preserve"> RNA for this purpose. The hybrid could then also be used as an internal standard to be run in parallel </w:t>
      </w:r>
      <w:r w:rsidR="00BF20EB">
        <w:t>with</w:t>
      </w:r>
      <w:r>
        <w:t xml:space="preserve"> each experimental reaction mixture. A whole host of issues could be the cause of primer failure</w:t>
      </w:r>
      <w:r w:rsidR="00BF20EB">
        <w:t>,</w:t>
      </w:r>
      <w:r>
        <w:t xml:space="preserve"> including</w:t>
      </w:r>
      <w:r w:rsidR="00BF20EB">
        <w:t xml:space="preserve"> the</w:t>
      </w:r>
      <w:r>
        <w:t xml:space="preserve"> </w:t>
      </w:r>
      <w:r w:rsidRPr="002D5859">
        <w:t>unknown/low concentration of target transcript</w:t>
      </w:r>
      <w:r>
        <w:t xml:space="preserve">, </w:t>
      </w:r>
      <w:r w:rsidRPr="002D5859">
        <w:t>unknown secondary structure in transcript</w:t>
      </w:r>
      <w:r>
        <w:t xml:space="preserve">, </w:t>
      </w:r>
      <w:r w:rsidR="00833447">
        <w:t xml:space="preserve">and </w:t>
      </w:r>
      <w:r>
        <w:t>primer issues</w:t>
      </w:r>
      <w:r w:rsidR="00833447">
        <w:t xml:space="preserve"> such as</w:t>
      </w:r>
      <w:r w:rsidRPr="002D5859">
        <w:t xml:space="preserve"> Tm, </w:t>
      </w:r>
      <w:r>
        <w:t>primer-</w:t>
      </w:r>
      <w:r w:rsidR="00833447">
        <w:t>dimers, etc. The p</w:t>
      </w:r>
      <w:r w:rsidRPr="002D5859">
        <w:t xml:space="preserve">reparation of </w:t>
      </w:r>
      <w:r w:rsidR="00833447">
        <w:t xml:space="preserve">an </w:t>
      </w:r>
      <w:r w:rsidRPr="002D5859">
        <w:t>artificial chimeric transcript</w:t>
      </w:r>
      <w:r w:rsidR="00833447">
        <w:t xml:space="preserve"> is</w:t>
      </w:r>
      <w:r w:rsidRPr="002D5859">
        <w:t xml:space="preserve"> out</w:t>
      </w:r>
      <w:r w:rsidR="00833447">
        <w:t>side</w:t>
      </w:r>
      <w:r w:rsidRPr="002D5859">
        <w:t xml:space="preserve"> of </w:t>
      </w:r>
      <w:r w:rsidR="00BF20EB">
        <w:t xml:space="preserve">this </w:t>
      </w:r>
      <w:r w:rsidRPr="002D5859">
        <w:t>project</w:t>
      </w:r>
      <w:r w:rsidR="00BF20EB">
        <w:t>’s</w:t>
      </w:r>
      <w:r w:rsidRPr="002D5859">
        <w:t xml:space="preserve"> scope</w:t>
      </w:r>
      <w:r w:rsidR="00833447">
        <w:t>. However, Vasl et al (</w:t>
      </w:r>
      <w:r w:rsidRPr="002D5859">
        <w:t>2004</w:t>
      </w:r>
      <w:r w:rsidR="00833447">
        <w:t>) describes a rapid</w:t>
      </w:r>
      <w:r w:rsidRPr="002D5859">
        <w:t xml:space="preserve"> three step </w:t>
      </w:r>
      <w:r w:rsidR="00833447">
        <w:t xml:space="preserve">PCR preparation of a hybrid gene </w:t>
      </w:r>
      <w:r w:rsidRPr="002D5859">
        <w:t>without need for cloning</w:t>
      </w:r>
      <w:r w:rsidR="00833447">
        <w:t xml:space="preserve">. After </w:t>
      </w:r>
      <w:r w:rsidR="00833447">
        <w:rPr>
          <w:i/>
        </w:rPr>
        <w:t xml:space="preserve">in vitro </w:t>
      </w:r>
      <w:r w:rsidR="00833447" w:rsidRPr="00833447">
        <w:t>transcription</w:t>
      </w:r>
      <w:r w:rsidR="00833447">
        <w:t xml:space="preserve">, a known quantum of hybrid could be prepared and the sensitivity of different PCR reactions determined. </w:t>
      </w:r>
    </w:p>
    <w:p w14:paraId="628A3474" w14:textId="0C15FDB4" w:rsidR="0066203D" w:rsidRDefault="00833447" w:rsidP="009E6EEA">
      <w:r>
        <w:tab/>
        <w:t>If it is assumed that the AfsA domain in the hybrid is equally likely to be similar to any non-hybrid AfsA sequence known, then there is a 10% probability that this domain will not be amplified by the employed reverse primers</w:t>
      </w:r>
      <w:r w:rsidR="009748AD">
        <w:t xml:space="preserve"> (see Methods)</w:t>
      </w:r>
      <w:r>
        <w:t xml:space="preserve">. </w:t>
      </w:r>
      <w:r w:rsidR="00A60651">
        <w:t>There is even more cause for concern</w:t>
      </w:r>
      <w:r w:rsidR="009748AD">
        <w:t xml:space="preserve"> if</w:t>
      </w:r>
      <w:r>
        <w:t xml:space="preserve"> incorporation into PKS significantly alter</w:t>
      </w:r>
      <w:r w:rsidR="009748AD">
        <w:t xml:space="preserve">ed </w:t>
      </w:r>
      <w:r>
        <w:t xml:space="preserve">the AfsA domain sequence so that it cannot be predicted. Careful </w:t>
      </w:r>
      <w:r w:rsidR="009748AD">
        <w:t xml:space="preserve">motif </w:t>
      </w:r>
      <w:r>
        <w:t>analysis of incorporated AfsA and non-</w:t>
      </w:r>
      <w:r w:rsidR="009748AD">
        <w:t>incorporated</w:t>
      </w:r>
      <w:r>
        <w:t xml:space="preserve"> AfsA homologues</w:t>
      </w:r>
      <w:r w:rsidR="00A60651">
        <w:t xml:space="preserve"> in proteobacteria and cynaobacteria</w:t>
      </w:r>
      <w:r>
        <w:t xml:space="preserve"> may give clues on what to expect in the way of motif divergence after</w:t>
      </w:r>
      <w:r w:rsidR="009748AD">
        <w:t xml:space="preserve"> a</w:t>
      </w:r>
      <w:r>
        <w:t xml:space="preserve"> fusion</w:t>
      </w:r>
      <w:r w:rsidR="009748AD">
        <w:t xml:space="preserve"> event</w:t>
      </w:r>
      <w:r>
        <w:t>.</w:t>
      </w:r>
      <w:r w:rsidR="009748AD">
        <w:t xml:space="preserve"> </w:t>
      </w:r>
      <w:r w:rsidR="00444E3D">
        <w:t xml:space="preserve">An improvement to the algorithm itself may actually help with these issues. The algorithm is deemed ‘greedy’ because it does not always find the minimum number of motifs. For example, assuming complete independence of motifs under a greedy algorithm, a hypothetical motif A may be present in 60% of the sequences. Motif B is present in 30% (total) and motif C 10% of sequences. Under a maximally efficient algorithm, motif D may represent 51% and motif E 49%. Even though the greedy algorithm identified the most common motif (A), it did not identify the fewest possible motifs (D and E) necessary to represent all sequences. The strength of the greedy algorithm resides in its ability to simultaneously identify both very common motifs and motifs representative of rare subtypes. The latter is considerably more complicated, making it an area for future improvement. </w:t>
      </w:r>
    </w:p>
    <w:p w14:paraId="6B0B433B" w14:textId="59392FAB" w:rsidR="0066203D" w:rsidRPr="009E6EEA" w:rsidRDefault="007D1884" w:rsidP="009E6EEA">
      <w:r>
        <w:tab/>
        <w:t>The final scenario leading to a false negative (that can be presently predicted) involves a trans-acting AfsA gene. This AfsA protein would be not be incorporated into a PKS and interact non-covalently with the PKS protein to perform the functions predicted of a true PKS-AfsA hybrid. A genome mining approach would be the only way to overcome this obstacle (see Introduction). It is not possible to predict how likely this scenario is.</w:t>
      </w:r>
    </w:p>
    <w:p w14:paraId="55DC54EC" w14:textId="7E782E0E" w:rsidR="007D1884" w:rsidRPr="00B10196" w:rsidRDefault="007D1884" w:rsidP="009E6EEA">
      <w:pPr>
        <w:rPr>
          <w:b/>
        </w:rPr>
      </w:pPr>
      <w:r w:rsidRPr="00B10196">
        <w:rPr>
          <w:b/>
        </w:rPr>
        <w:t>Alternative hypotheses (Experimental true negative)</w:t>
      </w:r>
    </w:p>
    <w:p w14:paraId="2ACD4158" w14:textId="2E90DC16" w:rsidR="007D1884" w:rsidRPr="005471CF" w:rsidRDefault="007D1884" w:rsidP="009E6EEA">
      <w:r w:rsidRPr="005471CF">
        <w:tab/>
        <w:t xml:space="preserve">As discussed in the </w:t>
      </w:r>
      <w:r w:rsidR="0030669E">
        <w:t>I</w:t>
      </w:r>
      <w:r w:rsidRPr="005471CF">
        <w:t xml:space="preserve">ntroduction, the most plausible </w:t>
      </w:r>
      <w:r w:rsidR="003A5C79" w:rsidRPr="005471CF">
        <w:t xml:space="preserve">alternative biosynthesis pathway is the tetronate biosynthesis pathway typified by the antibiotic RK-682 in </w:t>
      </w:r>
      <w:r w:rsidR="003A5C79" w:rsidRPr="005471CF">
        <w:rPr>
          <w:i/>
        </w:rPr>
        <w:t>Streptomyces</w:t>
      </w:r>
      <w:r w:rsidR="003A5C79" w:rsidRPr="005471CF">
        <w:t xml:space="preserve">. The problem with testing this approach is two-fold. First, one would have to determine the uniqueness of the four biosynthesis genes to tetronate biosynthesis. For example, this arrangement could have resulted from a </w:t>
      </w:r>
      <w:r w:rsidR="003A5C79" w:rsidRPr="005471CF">
        <w:lastRenderedPageBreak/>
        <w:t>neofunctionalization of a common operon, in which case amplification would be universal instead of specific. Additionally, one must consider the number of transcripts amplified from non-ACG tetronate biosynthesis. If this number is sufficiently large, or contains many uncharacterized pathways, parsing the ACG pathway would be tedious. Contrastingly, any true positive PKS-AfsA hybrid will be surprising and relatively easy to associate with ACG biosynthesis.</w:t>
      </w:r>
    </w:p>
    <w:p w14:paraId="543EA5EE" w14:textId="2460CF12" w:rsidR="00CA3AAD" w:rsidRPr="009E6EEA" w:rsidRDefault="00CA3AAD" w:rsidP="009E6EEA">
      <w:r w:rsidRPr="005471CF">
        <w:tab/>
        <w:t xml:space="preserve">The remaining hypotheses operate under the assumption that Taechowisan et al were mistaken in their isolation of ACGs from </w:t>
      </w:r>
      <w:r w:rsidRPr="005471CF">
        <w:rPr>
          <w:i/>
        </w:rPr>
        <w:t>Streptomyces sp. VE2</w:t>
      </w:r>
      <w:r w:rsidRPr="005471CF">
        <w:t xml:space="preserve">. Dr. Feras Qasem Alali, an expert in the field of ACG identification, had more than a few concerns about their methods (personal communication). The first hypothesis </w:t>
      </w:r>
      <w:r w:rsidR="00A23CA4" w:rsidRPr="005471CF">
        <w:t xml:space="preserve">considers </w:t>
      </w:r>
      <w:r w:rsidR="0030669E">
        <w:t xml:space="preserve">that </w:t>
      </w:r>
      <w:r w:rsidR="00A23CA4" w:rsidRPr="005471CF">
        <w:t xml:space="preserve">the </w:t>
      </w:r>
      <w:r w:rsidRPr="005471CF">
        <w:t xml:space="preserve">biosynthesis </w:t>
      </w:r>
      <w:r w:rsidR="00A23CA4" w:rsidRPr="005471CF">
        <w:t xml:space="preserve">of ACGs </w:t>
      </w:r>
      <w:r w:rsidRPr="005471CF">
        <w:t xml:space="preserve">is performed by enzymes native to the </w:t>
      </w:r>
      <w:r w:rsidR="00A23CA4" w:rsidRPr="005471CF">
        <w:t>Annonaceae</w:t>
      </w:r>
      <w:r w:rsidRPr="005471CF">
        <w:t xml:space="preserve">. In one hypothesis by </w:t>
      </w:r>
      <w:r w:rsidRPr="009E6EEA">
        <w:t>Zeng et al (1993)</w:t>
      </w:r>
      <w:r w:rsidR="0030669E">
        <w:t>,</w:t>
      </w:r>
      <w:r w:rsidRPr="009E6EEA">
        <w:t xml:space="preserve"> a C32-34 fatty acid reacts with 2-propanol</w:t>
      </w:r>
      <w:r w:rsidR="00E73C88" w:rsidRPr="005471CF">
        <w:t xml:space="preserve"> to form a proto-ACG.</w:t>
      </w:r>
      <w:r w:rsidRPr="009E6EEA">
        <w:t xml:space="preserve"> </w:t>
      </w:r>
      <w:r w:rsidR="00A60651" w:rsidRPr="005471CF">
        <w:t>Wong and Brown (2002)</w:t>
      </w:r>
      <w:r w:rsidRPr="009E6EEA">
        <w:t xml:space="preserve"> </w:t>
      </w:r>
      <w:r w:rsidR="0030669E">
        <w:t>noted</w:t>
      </w:r>
      <w:r w:rsidR="00A60651" w:rsidRPr="005471CF">
        <w:t xml:space="preserve"> a possible</w:t>
      </w:r>
      <w:r w:rsidRPr="009E6EEA">
        <w:t xml:space="preserve"> biosynthesis of an unusual ACG</w:t>
      </w:r>
      <w:r w:rsidR="00A60651" w:rsidRPr="005471CF">
        <w:t>,</w:t>
      </w:r>
      <w:r w:rsidRPr="009E6EEA">
        <w:t xml:space="preserve"> artapetalin</w:t>
      </w:r>
      <w:r w:rsidR="00A60651" w:rsidRPr="005471CF">
        <w:t>,</w:t>
      </w:r>
      <w:r w:rsidRPr="009E6EEA">
        <w:t xml:space="preserve"> in which alpha-lineolic acid is reacted with pyruvate</w:t>
      </w:r>
      <w:r w:rsidR="00A23CA4" w:rsidRPr="005471CF">
        <w:t xml:space="preserve"> followed by an unknown reaction mechanism to remove the beta-carbon –O-CH</w:t>
      </w:r>
      <w:r w:rsidR="00A23CA4" w:rsidRPr="005471CF">
        <w:rPr>
          <w:vertAlign w:val="subscript"/>
        </w:rPr>
        <w:t>3</w:t>
      </w:r>
      <w:r w:rsidR="00A23CA4" w:rsidRPr="005471CF">
        <w:t xml:space="preserve"> group.</w:t>
      </w:r>
      <w:r w:rsidR="00E73C88" w:rsidRPr="009E6EEA">
        <w:t xml:space="preserve"> </w:t>
      </w:r>
      <w:r w:rsidR="00A23CA4" w:rsidRPr="005471CF">
        <w:t>Neither of these papers offer any putative enzymes that could accomplish such reactions. Attempting to accumulate a list of biochemically capable plant enzymes is likely possible but has not be</w:t>
      </w:r>
      <w:r w:rsidR="0030669E">
        <w:t>en</w:t>
      </w:r>
      <w:r w:rsidR="00A23CA4" w:rsidRPr="005471CF">
        <w:t xml:space="preserve"> attempted </w:t>
      </w:r>
      <w:r w:rsidR="00A60651" w:rsidRPr="005471CF">
        <w:t>here</w:t>
      </w:r>
      <w:r w:rsidR="00A23CA4" w:rsidRPr="005471CF">
        <w:t xml:space="preserve">. </w:t>
      </w:r>
    </w:p>
    <w:p w14:paraId="655AFA38" w14:textId="67568DB5" w:rsidR="007D1884" w:rsidRPr="009E6EEA" w:rsidRDefault="00A23CA4" w:rsidP="009E6EEA">
      <w:pPr>
        <w:ind w:firstLine="360"/>
      </w:pPr>
      <w:r w:rsidRPr="005471CF">
        <w:t>A final alternative considers</w:t>
      </w:r>
      <w:r w:rsidR="007D1884" w:rsidRPr="009E6EEA">
        <w:t xml:space="preserve"> </w:t>
      </w:r>
      <w:r w:rsidRPr="005471CF">
        <w:t>the antibiotic acaterin, isolated from the</w:t>
      </w:r>
      <w:r w:rsidR="007D1884" w:rsidRPr="009E6EEA">
        <w:t xml:space="preserve"> soil</w:t>
      </w:r>
      <w:r w:rsidR="0030669E">
        <w:t>-</w:t>
      </w:r>
      <w:r w:rsidR="007D1884" w:rsidRPr="009E6EEA">
        <w:t xml:space="preserve">dwelling </w:t>
      </w:r>
      <w:r w:rsidR="007D1884" w:rsidRPr="009E6EEA">
        <w:rPr>
          <w:i/>
        </w:rPr>
        <w:t>Pseudomonas sp. A92</w:t>
      </w:r>
      <w:r w:rsidRPr="005471CF">
        <w:t>. Acaterin is the only known biomolecule to have the identical terminal lactone as ACGs. F</w:t>
      </w:r>
      <w:r w:rsidR="007D1884" w:rsidRPr="009E6EEA">
        <w:t>eeding experiments suggest synthesis by C-5 unit with octanoate</w:t>
      </w:r>
      <w:r w:rsidRPr="005471CF">
        <w:t xml:space="preserve"> in</w:t>
      </w:r>
      <w:r w:rsidR="00017B61" w:rsidRPr="009E6EEA">
        <w:t xml:space="preserve"> an unknown </w:t>
      </w:r>
      <w:r w:rsidR="007D1884" w:rsidRPr="009E6EEA">
        <w:t>biosynthesis pathway</w:t>
      </w:r>
      <w:r w:rsidRPr="005471CF">
        <w:t xml:space="preserve">. Because </w:t>
      </w:r>
      <w:r w:rsidRPr="005471CF">
        <w:rPr>
          <w:i/>
        </w:rPr>
        <w:t>Pseudomonas sp. A92</w:t>
      </w:r>
      <w:r w:rsidRPr="005471CF">
        <w:t xml:space="preserve"> is culturable and acaterin is unique to it, genome mining of </w:t>
      </w:r>
      <w:r w:rsidRPr="005471CF">
        <w:rPr>
          <w:i/>
        </w:rPr>
        <w:t>Pseudomonas sp. A92</w:t>
      </w:r>
      <w:r w:rsidRPr="005471CF">
        <w:t xml:space="preserve"> may be the key to unlock ACG biosynthesis. This approach would only be useful if similarities in chemical structure between ACGs and acaterin are not coincidental (convergent evolution). It is possible that both </w:t>
      </w:r>
      <w:r w:rsidRPr="009E6EEA">
        <w:rPr>
          <w:i/>
        </w:rPr>
        <w:t>Streptomyces VE2</w:t>
      </w:r>
      <w:r w:rsidRPr="005471CF">
        <w:t xml:space="preserve"> and </w:t>
      </w:r>
      <w:r w:rsidRPr="005471CF">
        <w:rPr>
          <w:i/>
        </w:rPr>
        <w:t>Pseudomonas sp. A92</w:t>
      </w:r>
      <w:r w:rsidRPr="005471CF">
        <w:t xml:space="preserve"> produce identical terminal lactones through genetically related biosynthesis</w:t>
      </w:r>
      <w:r w:rsidR="0030669E">
        <w:t>,</w:t>
      </w:r>
      <w:r w:rsidRPr="005471CF">
        <w:t xml:space="preserve"> since these genera are known to conjugate and exchange genetic information (</w:t>
      </w:r>
      <w:r w:rsidR="00C920B9" w:rsidRPr="005471CF">
        <w:t>Mazodier et al, 1989</w:t>
      </w:r>
      <w:r w:rsidRPr="005471CF">
        <w:t>).</w:t>
      </w:r>
    </w:p>
    <w:p w14:paraId="4056C335" w14:textId="54643737" w:rsidR="00B2314C" w:rsidRPr="005471CF" w:rsidRDefault="00FA4FCE" w:rsidP="009E6EEA">
      <w:r w:rsidRPr="005471CF">
        <w:t>Next steps from best possible results (</w:t>
      </w:r>
      <w:r w:rsidR="0030669E">
        <w:t>for f</w:t>
      </w:r>
      <w:r w:rsidRPr="005471CF">
        <w:t xml:space="preserve">uture </w:t>
      </w:r>
      <w:r w:rsidR="0030669E">
        <w:t>st</w:t>
      </w:r>
      <w:r w:rsidRPr="005471CF">
        <w:t>udies)</w:t>
      </w:r>
      <w:r w:rsidR="0030669E">
        <w:t>:</w:t>
      </w:r>
    </w:p>
    <w:p w14:paraId="75540068" w14:textId="257C5894" w:rsidR="00FA4FCE" w:rsidRPr="005471CF" w:rsidRDefault="00B2314C" w:rsidP="009E6EEA">
      <w:pPr>
        <w:pStyle w:val="ListParagraph"/>
        <w:numPr>
          <w:ilvl w:val="0"/>
          <w:numId w:val="1"/>
        </w:numPr>
      </w:pPr>
      <w:r w:rsidRPr="005471CF">
        <w:t>Sequencing of experimental band(s)</w:t>
      </w:r>
    </w:p>
    <w:p w14:paraId="4CA8817D" w14:textId="77777777" w:rsidR="00B2314C" w:rsidRPr="005471CF" w:rsidRDefault="00FA4FCE" w:rsidP="009E6EEA">
      <w:pPr>
        <w:pStyle w:val="ListParagraph"/>
        <w:numPr>
          <w:ilvl w:val="0"/>
          <w:numId w:val="1"/>
        </w:numPr>
      </w:pPr>
      <w:r w:rsidRPr="009E6EEA">
        <w:t>Characterize sequence using antiSMASH and/or pfam</w:t>
      </w:r>
    </w:p>
    <w:p w14:paraId="16A54F2B" w14:textId="347E77BA" w:rsidR="00B2314C" w:rsidRPr="005471CF" w:rsidRDefault="00FA4FCE" w:rsidP="009E6EEA">
      <w:pPr>
        <w:pStyle w:val="ListParagraph"/>
        <w:numPr>
          <w:ilvl w:val="0"/>
          <w:numId w:val="1"/>
        </w:numPr>
      </w:pPr>
      <w:r w:rsidRPr="009E6EEA">
        <w:t>If 1</w:t>
      </w:r>
      <w:r w:rsidR="0030669E">
        <w:t xml:space="preserve"> and</w:t>
      </w:r>
      <w:r w:rsidRPr="009E6EEA">
        <w:t xml:space="preserve"> 2</w:t>
      </w:r>
      <w:r w:rsidR="0030669E">
        <w:t>,</w:t>
      </w:r>
      <w:r w:rsidRPr="009E6EEA">
        <w:t xml:space="preserve"> predict single hybrid protein product, design sequence specific primers</w:t>
      </w:r>
    </w:p>
    <w:p w14:paraId="7430D5B1" w14:textId="77777777" w:rsidR="00B2314C" w:rsidRPr="005471CF" w:rsidRDefault="00FA4FCE" w:rsidP="009E6EEA">
      <w:pPr>
        <w:pStyle w:val="ListParagraph"/>
        <w:numPr>
          <w:ilvl w:val="0"/>
          <w:numId w:val="1"/>
        </w:numPr>
      </w:pPr>
      <w:r w:rsidRPr="009E6EEA">
        <w:t>Use primers for PCR guided isolation of strain</w:t>
      </w:r>
    </w:p>
    <w:p w14:paraId="03C94175" w14:textId="77777777" w:rsidR="00B2314C" w:rsidRPr="005471CF" w:rsidRDefault="00FA4FCE" w:rsidP="009E6EEA">
      <w:pPr>
        <w:pStyle w:val="ListParagraph"/>
        <w:numPr>
          <w:ilvl w:val="0"/>
          <w:numId w:val="1"/>
        </w:numPr>
      </w:pPr>
      <w:r w:rsidRPr="009E6EEA">
        <w:t>Attempt extraction/detection of acetogenins from strain</w:t>
      </w:r>
    </w:p>
    <w:p w14:paraId="644E420E" w14:textId="77777777" w:rsidR="00B2314C" w:rsidRPr="005471CF" w:rsidRDefault="00FA4FCE" w:rsidP="009E6EEA">
      <w:pPr>
        <w:pStyle w:val="ListParagraph"/>
        <w:numPr>
          <w:ilvl w:val="0"/>
          <w:numId w:val="1"/>
        </w:numPr>
      </w:pPr>
      <w:r w:rsidRPr="009E6EEA">
        <w:t>Reverse PCR/genome walking to characterize full BGC sequence</w:t>
      </w:r>
    </w:p>
    <w:p w14:paraId="029098CB" w14:textId="77777777" w:rsidR="00B2314C" w:rsidRPr="005471CF" w:rsidRDefault="00FA4FCE" w:rsidP="009E6EEA">
      <w:pPr>
        <w:pStyle w:val="ListParagraph"/>
        <w:numPr>
          <w:ilvl w:val="0"/>
          <w:numId w:val="1"/>
        </w:numPr>
      </w:pPr>
      <w:r w:rsidRPr="009E6EEA">
        <w:t>Knockout/feeding experiments; monitor acetogenin production</w:t>
      </w:r>
    </w:p>
    <w:p w14:paraId="7111E052" w14:textId="77777777" w:rsidR="00B2314C" w:rsidRPr="005471CF" w:rsidRDefault="00FA4FCE" w:rsidP="009E6EEA">
      <w:pPr>
        <w:pStyle w:val="ListParagraph"/>
        <w:numPr>
          <w:ilvl w:val="0"/>
          <w:numId w:val="1"/>
        </w:numPr>
      </w:pPr>
      <w:r w:rsidRPr="009E6EEA">
        <w:t>Characterize BGC on antiSMASH; compare to known BGCs</w:t>
      </w:r>
    </w:p>
    <w:p w14:paraId="64D0A9C1" w14:textId="77777777" w:rsidR="00B2314C" w:rsidRPr="005471CF" w:rsidRDefault="00FA4FCE" w:rsidP="009E6EEA">
      <w:pPr>
        <w:pStyle w:val="ListParagraph"/>
        <w:numPr>
          <w:ilvl w:val="0"/>
          <w:numId w:val="1"/>
        </w:numPr>
      </w:pPr>
      <w:r w:rsidRPr="009E6EEA">
        <w:t xml:space="preserve">Attempt axenic growth of annonaceae, inoculate with </w:t>
      </w:r>
      <w:r w:rsidR="00B2314C" w:rsidRPr="005471CF">
        <w:t xml:space="preserve">acetogenin producing </w:t>
      </w:r>
      <w:r w:rsidRPr="009E6EEA">
        <w:rPr>
          <w:i/>
        </w:rPr>
        <w:t>Streptomyces</w:t>
      </w:r>
      <w:r w:rsidRPr="009E6EEA">
        <w:t xml:space="preserve"> for comparative analysis; determine co-culture effects</w:t>
      </w:r>
    </w:p>
    <w:p w14:paraId="560FDAC2" w14:textId="77777777" w:rsidR="00B2314C" w:rsidRPr="005471CF" w:rsidRDefault="00FA4FCE" w:rsidP="009E6EEA">
      <w:pPr>
        <w:pStyle w:val="ListParagraph"/>
        <w:numPr>
          <w:ilvl w:val="0"/>
          <w:numId w:val="1"/>
        </w:numPr>
      </w:pPr>
      <w:r w:rsidRPr="009E6EEA">
        <w:t xml:space="preserve">Determine plant organs that harbor </w:t>
      </w:r>
      <w:r w:rsidRPr="009E6EEA">
        <w:rPr>
          <w:i/>
        </w:rPr>
        <w:t>Streptomyces</w:t>
      </w:r>
    </w:p>
    <w:p w14:paraId="71C6B5D6" w14:textId="77777777" w:rsidR="00B2314C" w:rsidRPr="005471CF" w:rsidRDefault="00FA4FCE" w:rsidP="009E6EEA">
      <w:pPr>
        <w:pStyle w:val="ListParagraph"/>
        <w:numPr>
          <w:ilvl w:val="0"/>
          <w:numId w:val="1"/>
        </w:numPr>
      </w:pPr>
      <w:r w:rsidRPr="009E6EEA">
        <w:t xml:space="preserve">Isolate acetogenin producing </w:t>
      </w:r>
      <w:r w:rsidRPr="009E6EEA">
        <w:rPr>
          <w:i/>
        </w:rPr>
        <w:t>Streptomyces</w:t>
      </w:r>
      <w:r w:rsidRPr="009E6EEA">
        <w:t xml:space="preserve"> from other annonaceae sp. for comparative analysis</w:t>
      </w:r>
    </w:p>
    <w:p w14:paraId="118A50D5" w14:textId="6F3ABEC9" w:rsidR="00FA4FCE" w:rsidRPr="009E6EEA" w:rsidRDefault="00FA4FCE" w:rsidP="009E6EEA">
      <w:pPr>
        <w:pStyle w:val="ListParagraph"/>
        <w:numPr>
          <w:ilvl w:val="0"/>
          <w:numId w:val="1"/>
        </w:numPr>
      </w:pPr>
      <w:r w:rsidRPr="009E6EEA">
        <w:t xml:space="preserve">Co-evolutionary studies between </w:t>
      </w:r>
      <w:r w:rsidRPr="009E6EEA">
        <w:rPr>
          <w:i/>
        </w:rPr>
        <w:t>Streptomyces</w:t>
      </w:r>
      <w:r w:rsidRPr="009E6EEA">
        <w:t xml:space="preserve"> and annonaceae species</w:t>
      </w:r>
    </w:p>
    <w:p w14:paraId="72C3E13A" w14:textId="77777777" w:rsidR="0030669E" w:rsidRDefault="0030669E" w:rsidP="0030669E">
      <w:pPr>
        <w:rPr>
          <w:b/>
        </w:rPr>
      </w:pPr>
    </w:p>
    <w:p w14:paraId="5FA452EC" w14:textId="77777777" w:rsidR="0030669E" w:rsidRDefault="0030669E" w:rsidP="0030669E">
      <w:pPr>
        <w:rPr>
          <w:b/>
        </w:rPr>
      </w:pPr>
    </w:p>
    <w:p w14:paraId="5117B302" w14:textId="1DDC3C7C" w:rsidR="00BA7FF3" w:rsidRPr="005471CF" w:rsidRDefault="00BA7FF3" w:rsidP="009E6EEA">
      <w:pPr>
        <w:rPr>
          <w:b/>
        </w:rPr>
      </w:pPr>
      <w:r w:rsidRPr="005471CF">
        <w:rPr>
          <w:b/>
        </w:rPr>
        <w:lastRenderedPageBreak/>
        <w:t>References</w:t>
      </w:r>
    </w:p>
    <w:p w14:paraId="75E68EB3" w14:textId="77777777" w:rsidR="00203909" w:rsidRDefault="00203909" w:rsidP="00203909">
      <w:pPr>
        <w:ind w:left="720" w:hanging="720"/>
      </w:pPr>
      <w:r>
        <w:t>Arakawa K, Tsuda N, Taniguchi A, Kinashi H. The Butenolide Signaling Molecules SRB1 and SRB2 Induce Lankacidin and Lankamycin Production in Streptomyces rochei. ChemBioChem. 2012;13:1447–57.</w:t>
      </w:r>
    </w:p>
    <w:p w14:paraId="274404E3" w14:textId="47FE8123" w:rsidR="00203909" w:rsidRDefault="00203909" w:rsidP="00203909">
      <w:pPr>
        <w:ind w:left="720" w:hanging="720"/>
      </w:pPr>
      <w:r>
        <w:t>ArcherDX. Why is it better to use RNA instead of DNA for fusion detection? [Internet]. Brand. [cited 2018Nov25]. Available from: https://archerdx.com/support/faqs/archer-fusionplex-variantplex-faqs/general-faqs/better-to-use-rna-instead-of-dna-fusion-detection</w:t>
      </w:r>
    </w:p>
    <w:p w14:paraId="28FD6AF4" w14:textId="77777777" w:rsidR="00203909" w:rsidRDefault="00203909" w:rsidP="00203909">
      <w:pPr>
        <w:ind w:left="720" w:hanging="720"/>
      </w:pPr>
      <w:r>
        <w:t>Coria-Téllez AV, Montalvo-Gónzalez E, Yahia EM, Obledo-Vázquez EN. Annona muricata: A comprehensive review on its traditional medicinal uses, phytochemicals, pharmacological activities, mechanisms of action and toxicity. Arabian Journal of Chemistry. 2018;11:662–91.</w:t>
      </w:r>
    </w:p>
    <w:p w14:paraId="1CFCEB49" w14:textId="77777777" w:rsidR="00203909" w:rsidRDefault="00203909" w:rsidP="00203909">
      <w:pPr>
        <w:ind w:left="720" w:hanging="720"/>
      </w:pPr>
      <w:r>
        <w:t>Du Y-L, Shen X-L, Yu P, Bai L-Q, Li Y-Q. Gamma-Butyrolactone Regulatory System of Streptomyces chattanoogensis Links Nutrient Utilization, Metabolism, and Development. Applied and Environmental Microbiology. 2011;77:8415–26.</w:t>
      </w:r>
    </w:p>
    <w:p w14:paraId="2DDAFE6D" w14:textId="77777777" w:rsidR="00203909" w:rsidRDefault="00203909" w:rsidP="00203909">
      <w:pPr>
        <w:ind w:left="720" w:hanging="720"/>
      </w:pPr>
      <w:r>
        <w:t>Gallimore AR. ChemInform Abstract: The Biosynthesis of Polyketide-Derived Polycyclic Ethers. ChemInform. 2009;40.</w:t>
      </w:r>
    </w:p>
    <w:p w14:paraId="455F6A33" w14:textId="77777777" w:rsidR="00203909" w:rsidRDefault="00203909" w:rsidP="00203909">
      <w:pPr>
        <w:ind w:left="720" w:hanging="720"/>
      </w:pPr>
      <w:r>
        <w:t>Greule A, Zhang S, Paululat T, Bechthold A. From a Natural Product to Its Biosynthetic Gene Cluster: A Demonstration Using Polyketomycin from Streptomyces diastatochromogenesTü6028. Journal of Visualized Experiments. 2017;</w:t>
      </w:r>
    </w:p>
    <w:p w14:paraId="7879EEC1" w14:textId="77777777" w:rsidR="00203909" w:rsidRDefault="00203909" w:rsidP="00203909">
      <w:pPr>
        <w:ind w:left="720" w:hanging="720"/>
      </w:pPr>
      <w:r>
        <w:t>Harvey AL, Edrada-Ebel R, Quinn RJ. The re-emergence of natural products for drug discovery in the genomics era. Nature Reviews Drug Discovery [Internet]. 2015;14:111–29. Available from: https://www.nature.com/articles/nrd4510</w:t>
      </w:r>
    </w:p>
    <w:p w14:paraId="78C96635" w14:textId="77777777" w:rsidR="00203909" w:rsidRDefault="00203909" w:rsidP="00203909">
      <w:pPr>
        <w:ind w:left="720" w:hanging="720"/>
      </w:pPr>
      <w:r>
        <w:t>Hertweck C. ChemInform Abstract: The Biosynthetic Logic of Polyketide Diversity. ChemInform. 2009;40.</w:t>
      </w:r>
    </w:p>
    <w:p w14:paraId="61630872" w14:textId="77777777" w:rsidR="00203909" w:rsidRDefault="00203909" w:rsidP="00203909">
      <w:pPr>
        <w:ind w:left="720" w:hanging="720"/>
      </w:pPr>
      <w:r>
        <w:t>Holmes A, Birse L, Jackson RW, Holden NJ. An optimized method for the extraction of bacterial mRNA from plant roots infected with Escherichia coli O157:H7. Frontiers in Microbiology. 2014;5.</w:t>
      </w:r>
    </w:p>
    <w:p w14:paraId="2F47EDBC" w14:textId="77777777" w:rsidR="00203909" w:rsidRDefault="00203909" w:rsidP="00203909">
      <w:pPr>
        <w:ind w:left="720" w:hanging="720"/>
      </w:pPr>
      <w:r>
        <w:t>Jenke-Kodama H, Sandmann A, Müller Rolf, Dittmann E. Evolutionary Implications of Bacterial Polyketide Synthases. Molecular Biology and Evolution. 2005;22:2027–39.</w:t>
      </w:r>
    </w:p>
    <w:p w14:paraId="7578037C" w14:textId="77777777" w:rsidR="00203909" w:rsidRDefault="00203909" w:rsidP="00203909">
      <w:pPr>
        <w:ind w:left="720" w:hanging="720"/>
      </w:pPr>
      <w:r>
        <w:t>Komaki H, Sakurai K, Hosoyama A, Kimura A, Igarashi Y, Tamura T. Diversity of nonribosomal peptide synthetase and polyketide synthase gene clusters among taxonomically close Streptomyces strains. Scientific Reports. 2018;8.</w:t>
      </w:r>
    </w:p>
    <w:p w14:paraId="182AA31C" w14:textId="77777777" w:rsidR="00203909" w:rsidRDefault="00203909" w:rsidP="00203909">
      <w:pPr>
        <w:ind w:left="720" w:hanging="720"/>
      </w:pPr>
      <w:r>
        <w:t>Laskaris P, Sekine T, Wellington EMH. Diversity Analysis of Streptomycetes and Associated Phosphotranspherase Genes in Soil. PLoS ONE. 2012;7.</w:t>
      </w:r>
    </w:p>
    <w:p w14:paraId="36C034C7" w14:textId="77777777" w:rsidR="00203909" w:rsidRDefault="00203909" w:rsidP="00203909">
      <w:pPr>
        <w:ind w:left="720" w:hanging="720"/>
      </w:pPr>
      <w:r>
        <w:t>Liaqat F, Eltem R. Identification and characterization of endophytic bacteria isolated from in vitro cultures of peach and pear rootstocks. 3 Biotech. 2016;6.</w:t>
      </w:r>
    </w:p>
    <w:p w14:paraId="06B57456" w14:textId="77777777" w:rsidR="00203909" w:rsidRDefault="00203909" w:rsidP="00203909">
      <w:pPr>
        <w:ind w:left="720" w:hanging="720"/>
      </w:pPr>
      <w:r>
        <w:t>Mazodier P, Petter R, Thompson C. Intergeneric conjugation between Escherichia coli and Streptomyces species. Journal of Bacteriology. 1989;171:3583–5.</w:t>
      </w:r>
    </w:p>
    <w:p w14:paraId="7A3CCA00" w14:textId="77777777" w:rsidR="00203909" w:rsidRDefault="00203909" w:rsidP="00203909">
      <w:pPr>
        <w:ind w:left="720" w:hanging="720"/>
      </w:pPr>
      <w:r>
        <w:lastRenderedPageBreak/>
        <w:t>Mclaughlin JL, Gu Z-M, Fang X-P, Zeng L, Wood KV. Bullacin: A New Cytotoxic Annonaceous Acetogenin from Annona bullata. Heterocycles. 1993;36:2221.</w:t>
      </w:r>
    </w:p>
    <w:p w14:paraId="091E5C23" w14:textId="77777777" w:rsidR="00203909" w:rsidRDefault="00203909" w:rsidP="00203909">
      <w:pPr>
        <w:ind w:left="720" w:hanging="720"/>
      </w:pPr>
      <w:r>
        <w:t>Mochizuki S, Hiratsu K, Suwa M, Ishii T, Sugino F, Yamada K, et al. The large linear plasmid pSLA2-L of Streptomyces rochei has an unusually condensed gene organization for secondary metabolism. Molecular Microbiology. 2003;48:1501–10.</w:t>
      </w:r>
    </w:p>
    <w:p w14:paraId="6CC1612F" w14:textId="77777777" w:rsidR="00203909" w:rsidRDefault="00203909" w:rsidP="00203909">
      <w:pPr>
        <w:ind w:left="720" w:hanging="720"/>
      </w:pPr>
      <w:r>
        <w:t>Nishida H, Ohnishi Y, Beppu T, Horinouchi S. Evolution of ?-butyrolactone synthases and receptors in Streptomyces. Environmental Microbiology. 2007;9:1986–94.</w:t>
      </w:r>
    </w:p>
    <w:p w14:paraId="51BA4A4D" w14:textId="77777777" w:rsidR="00203909" w:rsidRDefault="00203909" w:rsidP="00203909">
      <w:pPr>
        <w:ind w:left="720" w:hanging="720"/>
      </w:pPr>
      <w:r>
        <w:t>Niu G, Chater KF, Tian Y, Zhang J, Tan H. Specialised metabolites regulating antibiotic biosynthesis inStreptomycesspp. FEMS Microbiology Reviews. 2016;40:554–73.</w:t>
      </w:r>
    </w:p>
    <w:p w14:paraId="72C13A1F" w14:textId="77777777" w:rsidR="00203909" w:rsidRDefault="00203909" w:rsidP="00203909">
      <w:pPr>
        <w:ind w:left="720" w:hanging="720"/>
      </w:pPr>
      <w:r>
        <w:t>Schaefer AL, Lappala CR, Morlen RP, Pelletier DA, Lu T-YS, Lankford PK, et al. LuxR- and LuxI-Type Quorum-Sensing Circuits Are Prevalent in Members of the Populus deltoides Microbiome. Applied and Environmental Microbiology. 2013;79:5745–52.</w:t>
      </w:r>
    </w:p>
    <w:p w14:paraId="79DFA268" w14:textId="77777777" w:rsidR="00203909" w:rsidRDefault="00203909" w:rsidP="00203909">
      <w:pPr>
        <w:ind w:left="720" w:hanging="720"/>
      </w:pPr>
      <w:r>
        <w:t>Stevens DC, Conway KR, Pearce N, Villegas-Peñaranda LR, Garza AG, Boddy CN. Alternative Sigma Factor Over-Expression Enables Heterologous Expression of a Type II Polyketide Biosynthetic Pathway in Escherichia coli. PLoS ONE. 2013;8.</w:t>
      </w:r>
    </w:p>
    <w:p w14:paraId="13666665" w14:textId="77777777" w:rsidR="00203909" w:rsidRDefault="00203909" w:rsidP="00203909">
      <w:pPr>
        <w:ind w:left="720" w:hanging="720"/>
      </w:pPr>
      <w:r>
        <w:t>Stierle A, Strobel G, Stierle D. Taxol and taxane production by Taxomyces andreanae, an endophytic fungus of Pacific yew. Science [Internet]. 1993;260:214–6. Available from: http://science.sciencemag.org/content/260/5105/214.long</w:t>
      </w:r>
    </w:p>
    <w:p w14:paraId="5A72F8D9" w14:textId="77777777" w:rsidR="00203909" w:rsidRDefault="00203909" w:rsidP="00203909">
      <w:pPr>
        <w:ind w:left="720" w:hanging="720"/>
      </w:pPr>
      <w:r>
        <w:t>Szabo L, Salzman J. Detecting circular RNAs: bioinformatic and experimental challenges. Nature Reviews Genetics. 2016;17:679–92.</w:t>
      </w:r>
    </w:p>
    <w:p w14:paraId="07C1739A" w14:textId="77777777" w:rsidR="00203909" w:rsidRDefault="00203909" w:rsidP="00203909">
      <w:pPr>
        <w:ind w:left="720" w:hanging="720"/>
      </w:pPr>
      <w:r>
        <w:t>Taechowisan T, Singtotong C, Phutdhawong W. Antibacterial and Antioxidant Activities of Acetogenins from Streptomyces sp. VE2; An Endophyte in Vernonia cinerea (L.) Less. Journal of Applied Pharmaceutical Science. 2016;:067–72.</w:t>
      </w:r>
    </w:p>
    <w:p w14:paraId="237C9B76" w14:textId="77777777" w:rsidR="00203909" w:rsidRDefault="00203909" w:rsidP="00203909">
      <w:pPr>
        <w:ind w:left="720" w:hanging="720"/>
      </w:pPr>
      <w:r>
        <w:t>Terakado-Tonooka J, Ohwaki Y, Yamakawa H, Tanaka F, Yoneyama T, Fujihara S. Expressed nifH Genes of Endophytic Bacteria Detected in Field-Grown Sweet Potatoes (Ipomoea batatas L.). Microbes and Environments. 2008;23:89–93.</w:t>
      </w:r>
    </w:p>
    <w:p w14:paraId="7E64C066" w14:textId="77777777" w:rsidR="00203909" w:rsidRDefault="00203909" w:rsidP="00203909">
      <w:pPr>
        <w:ind w:left="720" w:hanging="720"/>
      </w:pPr>
      <w:r>
        <w:t>Vasl J, Panter G, Bencina M, Jerala R. Preparation of chimeric genes without subcloning. BioTechniques. 2004;37:726–30.</w:t>
      </w:r>
    </w:p>
    <w:p w14:paraId="7A3614A5" w14:textId="77777777" w:rsidR="00203909" w:rsidRDefault="00203909" w:rsidP="00203909">
      <w:pPr>
        <w:ind w:left="720" w:hanging="720"/>
      </w:pPr>
      <w:r>
        <w:t>Vieweg L, Reichau S, Schobert R, Leadlay PF, Süssmuth RD. Recent advances in the field of bioactive tetronates. Nat. Prod. Rep. 2014;31:1554–84.</w:t>
      </w:r>
    </w:p>
    <w:p w14:paraId="5B274B05" w14:textId="77777777" w:rsidR="00203909" w:rsidRDefault="00203909" w:rsidP="00203909">
      <w:pPr>
        <w:ind w:left="720" w:hanging="720"/>
      </w:pPr>
      <w:r>
        <w:t>Williams DC, Wildung MR, Jin AQ, Dalal D, Oliver JS, Coates RM, et al. Heterologous Expression and Characterization of a “Pseudomature” Form of Taxadiene Synthase Involved in Paclitaxel (Taxol) Biosynthesis and Evaluation of a Potential Intermediate and Inhibitors of the Multistep Diterpene Cyclization Reaction. Archives of Biochemistry and Biophysics. 2000;379:137–46.</w:t>
      </w:r>
    </w:p>
    <w:p w14:paraId="0D75E279" w14:textId="77777777" w:rsidR="00203909" w:rsidRDefault="00203909" w:rsidP="00203909">
      <w:pPr>
        <w:ind w:left="720" w:hanging="720"/>
      </w:pPr>
      <w:r>
        <w:t>Wong H-F, Brown GD. β-Methoxy-γ-methylene-α,β-unsaturated-γ-butyrolactones from Artabotrys hexapetalus. Phytochemistry. 2002;59:99–104.</w:t>
      </w:r>
    </w:p>
    <w:p w14:paraId="7E7E05C2" w14:textId="77777777" w:rsidR="00203909" w:rsidRDefault="00203909" w:rsidP="00203909">
      <w:pPr>
        <w:ind w:left="720" w:hanging="720"/>
      </w:pPr>
      <w:r>
        <w:lastRenderedPageBreak/>
        <w:t>Wu Y, Lu C, Qian X, Huang Y, Shen Y. Diversities Within Genotypes, Bioactivity and Biosynthetic Genes of Endophytic Actinomycetes Isolated from Three Pharmaceutical Plants. Current Microbiology. 2009;59:475–82.</w:t>
      </w:r>
    </w:p>
    <w:p w14:paraId="43AFE075" w14:textId="77777777" w:rsidR="00203909" w:rsidRDefault="00203909" w:rsidP="00203909">
      <w:pPr>
        <w:ind w:left="720" w:hanging="720"/>
      </w:pPr>
      <w:r>
        <w:t>Zecca J. The Effect of Bead Beating on RNA Integrity [Internet]. opsdiagnostics.com. OPS Diagnostics; Available from: https://opsdiagnostics.com/notes/rnaintegritypaper.html</w:t>
      </w:r>
    </w:p>
    <w:p w14:paraId="4D42C171" w14:textId="77777777" w:rsidR="00203909" w:rsidRDefault="00203909" w:rsidP="00203909">
      <w:pPr>
        <w:ind w:left="720" w:hanging="720"/>
      </w:pPr>
      <w:r>
        <w:t>Zin NM, Sarmin NIM, Ghadin N, Basri DF, Sidik NM, Hess WM, et al. Bioactive endophytic streptomycetes from the Malay Peninsula. FEMS Microbiology Letters. 2007;274:83–8.</w:t>
      </w:r>
    </w:p>
    <w:p w14:paraId="39352AA7" w14:textId="2A63D92A" w:rsidR="00BA7FF3" w:rsidRDefault="00BA7FF3" w:rsidP="00BA7FF3">
      <w:pPr>
        <w:ind w:left="720" w:hanging="720"/>
      </w:pPr>
    </w:p>
    <w:p w14:paraId="538EFBBF" w14:textId="77777777" w:rsidR="00203909" w:rsidRDefault="00203909" w:rsidP="00BA7FF3">
      <w:pPr>
        <w:ind w:left="720" w:hanging="720"/>
      </w:pPr>
    </w:p>
    <w:sectPr w:rsidR="00203909" w:rsidSect="00B124AD">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2BE97" w14:textId="77777777" w:rsidR="00457037" w:rsidRDefault="00457037" w:rsidP="00B124AD">
      <w:pPr>
        <w:spacing w:after="0" w:line="240" w:lineRule="auto"/>
      </w:pPr>
      <w:r>
        <w:separator/>
      </w:r>
    </w:p>
  </w:endnote>
  <w:endnote w:type="continuationSeparator" w:id="0">
    <w:p w14:paraId="0398AA5E" w14:textId="77777777" w:rsidR="00457037" w:rsidRDefault="00457037" w:rsidP="00B1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70658" w14:textId="77777777" w:rsidR="00457037" w:rsidRDefault="00457037" w:rsidP="00B124AD">
      <w:pPr>
        <w:spacing w:after="0" w:line="240" w:lineRule="auto"/>
      </w:pPr>
      <w:r>
        <w:separator/>
      </w:r>
    </w:p>
  </w:footnote>
  <w:footnote w:type="continuationSeparator" w:id="0">
    <w:p w14:paraId="7A428532" w14:textId="77777777" w:rsidR="00457037" w:rsidRDefault="00457037" w:rsidP="00B1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13AB" w14:textId="752717BF" w:rsidR="00002311" w:rsidRDefault="00002311" w:rsidP="00B124AD">
    <w:pPr>
      <w:pStyle w:val="Header"/>
      <w:jc w:val="center"/>
    </w:pPr>
    <w:r>
      <w:t xml:space="preserve">Detection of Endophytic Actinomycete Type I </w:t>
    </w:r>
    <w:r w:rsidR="00B2314C">
      <w:t>PKS</w:t>
    </w:r>
    <w:r>
      <w:t>/</w:t>
    </w:r>
    <w:r w:rsidR="00B2314C">
      <w:t>AfsA</w:t>
    </w:r>
    <w:r>
      <w:t xml:space="preserve"> hybrid </w:t>
    </w:r>
    <w:r w:rsidR="00B2314C">
      <w:t>from</w:t>
    </w:r>
    <w:r>
      <w:t xml:space="preserve"> </w:t>
    </w:r>
    <w:r w:rsidR="00B2314C">
      <w:t>Annonaceae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2ABC"/>
    <w:multiLevelType w:val="hybridMultilevel"/>
    <w:tmpl w:val="520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D"/>
    <w:rsid w:val="00000662"/>
    <w:rsid w:val="00002311"/>
    <w:rsid w:val="000061C9"/>
    <w:rsid w:val="000066A4"/>
    <w:rsid w:val="00012395"/>
    <w:rsid w:val="000149C6"/>
    <w:rsid w:val="000169F1"/>
    <w:rsid w:val="00017B61"/>
    <w:rsid w:val="00017C07"/>
    <w:rsid w:val="000324CB"/>
    <w:rsid w:val="000427F4"/>
    <w:rsid w:val="00046F70"/>
    <w:rsid w:val="00055412"/>
    <w:rsid w:val="00064F9F"/>
    <w:rsid w:val="00072E49"/>
    <w:rsid w:val="00074937"/>
    <w:rsid w:val="000773A1"/>
    <w:rsid w:val="00080B4D"/>
    <w:rsid w:val="00083989"/>
    <w:rsid w:val="000858F8"/>
    <w:rsid w:val="00087B47"/>
    <w:rsid w:val="00093472"/>
    <w:rsid w:val="000973FD"/>
    <w:rsid w:val="00097506"/>
    <w:rsid w:val="000A0249"/>
    <w:rsid w:val="000A1086"/>
    <w:rsid w:val="000A33FD"/>
    <w:rsid w:val="000A481C"/>
    <w:rsid w:val="000A539D"/>
    <w:rsid w:val="000B00F5"/>
    <w:rsid w:val="000C0D74"/>
    <w:rsid w:val="000C750E"/>
    <w:rsid w:val="000D0A4D"/>
    <w:rsid w:val="000D19DB"/>
    <w:rsid w:val="000D3A98"/>
    <w:rsid w:val="000D5204"/>
    <w:rsid w:val="000E1B27"/>
    <w:rsid w:val="000E71D2"/>
    <w:rsid w:val="000F099E"/>
    <w:rsid w:val="000F17BE"/>
    <w:rsid w:val="001037F3"/>
    <w:rsid w:val="001368D1"/>
    <w:rsid w:val="00145252"/>
    <w:rsid w:val="00145D16"/>
    <w:rsid w:val="001503E3"/>
    <w:rsid w:val="00161708"/>
    <w:rsid w:val="001715D6"/>
    <w:rsid w:val="0017180F"/>
    <w:rsid w:val="00180094"/>
    <w:rsid w:val="001823D1"/>
    <w:rsid w:val="001A0651"/>
    <w:rsid w:val="001B1932"/>
    <w:rsid w:val="001C0407"/>
    <w:rsid w:val="001C1C56"/>
    <w:rsid w:val="001C61AE"/>
    <w:rsid w:val="001D5118"/>
    <w:rsid w:val="001F460A"/>
    <w:rsid w:val="00203909"/>
    <w:rsid w:val="00204447"/>
    <w:rsid w:val="00205631"/>
    <w:rsid w:val="00213669"/>
    <w:rsid w:val="00215303"/>
    <w:rsid w:val="0021557C"/>
    <w:rsid w:val="00216E49"/>
    <w:rsid w:val="00221091"/>
    <w:rsid w:val="00222498"/>
    <w:rsid w:val="00233563"/>
    <w:rsid w:val="00236570"/>
    <w:rsid w:val="00246A78"/>
    <w:rsid w:val="002528C7"/>
    <w:rsid w:val="0025532D"/>
    <w:rsid w:val="00256638"/>
    <w:rsid w:val="002613F9"/>
    <w:rsid w:val="00267FDA"/>
    <w:rsid w:val="002A10EC"/>
    <w:rsid w:val="002A2406"/>
    <w:rsid w:val="002A3D26"/>
    <w:rsid w:val="002A4BD7"/>
    <w:rsid w:val="002B0749"/>
    <w:rsid w:val="002B17BF"/>
    <w:rsid w:val="002B2FC3"/>
    <w:rsid w:val="002C4753"/>
    <w:rsid w:val="002F0603"/>
    <w:rsid w:val="0030669E"/>
    <w:rsid w:val="00311693"/>
    <w:rsid w:val="003168B3"/>
    <w:rsid w:val="00322921"/>
    <w:rsid w:val="00325D77"/>
    <w:rsid w:val="00326F99"/>
    <w:rsid w:val="00330CB8"/>
    <w:rsid w:val="00331D32"/>
    <w:rsid w:val="003373DE"/>
    <w:rsid w:val="0034747C"/>
    <w:rsid w:val="0035740E"/>
    <w:rsid w:val="003601CD"/>
    <w:rsid w:val="00366915"/>
    <w:rsid w:val="00372249"/>
    <w:rsid w:val="00374AEC"/>
    <w:rsid w:val="0037712B"/>
    <w:rsid w:val="00380D48"/>
    <w:rsid w:val="003822E0"/>
    <w:rsid w:val="003878E0"/>
    <w:rsid w:val="00391349"/>
    <w:rsid w:val="003972F6"/>
    <w:rsid w:val="003A0F93"/>
    <w:rsid w:val="003A5C79"/>
    <w:rsid w:val="003A76E5"/>
    <w:rsid w:val="003B279F"/>
    <w:rsid w:val="003B4DA1"/>
    <w:rsid w:val="003B67E7"/>
    <w:rsid w:val="003B7F12"/>
    <w:rsid w:val="003D341D"/>
    <w:rsid w:val="003D347B"/>
    <w:rsid w:val="003D638D"/>
    <w:rsid w:val="003F0F06"/>
    <w:rsid w:val="00400E3B"/>
    <w:rsid w:val="00402585"/>
    <w:rsid w:val="0041102F"/>
    <w:rsid w:val="004142C3"/>
    <w:rsid w:val="0042279A"/>
    <w:rsid w:val="004229DA"/>
    <w:rsid w:val="00423FE5"/>
    <w:rsid w:val="004326C6"/>
    <w:rsid w:val="00434A5B"/>
    <w:rsid w:val="00444E3D"/>
    <w:rsid w:val="00447BFC"/>
    <w:rsid w:val="004507CB"/>
    <w:rsid w:val="00457037"/>
    <w:rsid w:val="00467514"/>
    <w:rsid w:val="004714BC"/>
    <w:rsid w:val="00474B98"/>
    <w:rsid w:val="00477C85"/>
    <w:rsid w:val="00481604"/>
    <w:rsid w:val="00486746"/>
    <w:rsid w:val="004956D4"/>
    <w:rsid w:val="0049704F"/>
    <w:rsid w:val="004A3CD6"/>
    <w:rsid w:val="004A726C"/>
    <w:rsid w:val="004B0A3B"/>
    <w:rsid w:val="004C6E9A"/>
    <w:rsid w:val="004D1C73"/>
    <w:rsid w:val="004D2DDF"/>
    <w:rsid w:val="004D4CC2"/>
    <w:rsid w:val="004D6966"/>
    <w:rsid w:val="004F0782"/>
    <w:rsid w:val="004F3D6E"/>
    <w:rsid w:val="00505AE6"/>
    <w:rsid w:val="00507638"/>
    <w:rsid w:val="00514A81"/>
    <w:rsid w:val="00516677"/>
    <w:rsid w:val="00526221"/>
    <w:rsid w:val="00527F6D"/>
    <w:rsid w:val="00530BFC"/>
    <w:rsid w:val="00531499"/>
    <w:rsid w:val="00534A43"/>
    <w:rsid w:val="00536490"/>
    <w:rsid w:val="005368BA"/>
    <w:rsid w:val="00543B68"/>
    <w:rsid w:val="005471CF"/>
    <w:rsid w:val="005479F5"/>
    <w:rsid w:val="005507D9"/>
    <w:rsid w:val="00550FC4"/>
    <w:rsid w:val="00556461"/>
    <w:rsid w:val="00560560"/>
    <w:rsid w:val="00562F68"/>
    <w:rsid w:val="00570A3C"/>
    <w:rsid w:val="0057437B"/>
    <w:rsid w:val="005752E8"/>
    <w:rsid w:val="00585068"/>
    <w:rsid w:val="005852FD"/>
    <w:rsid w:val="00593BDF"/>
    <w:rsid w:val="00593C2E"/>
    <w:rsid w:val="005A4FA9"/>
    <w:rsid w:val="005A66D0"/>
    <w:rsid w:val="005A6A38"/>
    <w:rsid w:val="005B18B5"/>
    <w:rsid w:val="005B4757"/>
    <w:rsid w:val="005C0BBC"/>
    <w:rsid w:val="005C4406"/>
    <w:rsid w:val="005C671F"/>
    <w:rsid w:val="005D206B"/>
    <w:rsid w:val="005D6B4A"/>
    <w:rsid w:val="005E1353"/>
    <w:rsid w:val="005E1B3E"/>
    <w:rsid w:val="005E3D87"/>
    <w:rsid w:val="005F19DB"/>
    <w:rsid w:val="005F42E4"/>
    <w:rsid w:val="005F4E49"/>
    <w:rsid w:val="005F6246"/>
    <w:rsid w:val="00603763"/>
    <w:rsid w:val="00606312"/>
    <w:rsid w:val="006102D2"/>
    <w:rsid w:val="0062023B"/>
    <w:rsid w:val="0063339E"/>
    <w:rsid w:val="006360B4"/>
    <w:rsid w:val="006459F2"/>
    <w:rsid w:val="0066203D"/>
    <w:rsid w:val="00662EB1"/>
    <w:rsid w:val="0066362B"/>
    <w:rsid w:val="00677099"/>
    <w:rsid w:val="0068125C"/>
    <w:rsid w:val="00683111"/>
    <w:rsid w:val="00694910"/>
    <w:rsid w:val="006A21E3"/>
    <w:rsid w:val="006A47C5"/>
    <w:rsid w:val="006A6EA3"/>
    <w:rsid w:val="006B0DE4"/>
    <w:rsid w:val="006B14BD"/>
    <w:rsid w:val="006B1FB0"/>
    <w:rsid w:val="006C781D"/>
    <w:rsid w:val="006D07EA"/>
    <w:rsid w:val="006D370A"/>
    <w:rsid w:val="006D5DA2"/>
    <w:rsid w:val="006D65C2"/>
    <w:rsid w:val="006E3B00"/>
    <w:rsid w:val="006E5F11"/>
    <w:rsid w:val="006F0605"/>
    <w:rsid w:val="00702704"/>
    <w:rsid w:val="007067E8"/>
    <w:rsid w:val="00712B27"/>
    <w:rsid w:val="00724A47"/>
    <w:rsid w:val="007261B3"/>
    <w:rsid w:val="007276C8"/>
    <w:rsid w:val="00733F60"/>
    <w:rsid w:val="007342A4"/>
    <w:rsid w:val="007352A4"/>
    <w:rsid w:val="00735A25"/>
    <w:rsid w:val="00740405"/>
    <w:rsid w:val="0074235D"/>
    <w:rsid w:val="0074293B"/>
    <w:rsid w:val="00744A11"/>
    <w:rsid w:val="00744E25"/>
    <w:rsid w:val="00752155"/>
    <w:rsid w:val="0075651C"/>
    <w:rsid w:val="007566FC"/>
    <w:rsid w:val="00756CC1"/>
    <w:rsid w:val="00772767"/>
    <w:rsid w:val="0078254E"/>
    <w:rsid w:val="007A1020"/>
    <w:rsid w:val="007A662D"/>
    <w:rsid w:val="007B0253"/>
    <w:rsid w:val="007B36BC"/>
    <w:rsid w:val="007B586C"/>
    <w:rsid w:val="007C6B11"/>
    <w:rsid w:val="007D1122"/>
    <w:rsid w:val="007D1884"/>
    <w:rsid w:val="007D3E62"/>
    <w:rsid w:val="007E2DCB"/>
    <w:rsid w:val="007F3DF7"/>
    <w:rsid w:val="007F5715"/>
    <w:rsid w:val="008013E9"/>
    <w:rsid w:val="008066F6"/>
    <w:rsid w:val="008079E7"/>
    <w:rsid w:val="00810F30"/>
    <w:rsid w:val="008121B7"/>
    <w:rsid w:val="0081776C"/>
    <w:rsid w:val="00820F4B"/>
    <w:rsid w:val="00826D03"/>
    <w:rsid w:val="00830DDF"/>
    <w:rsid w:val="00833447"/>
    <w:rsid w:val="00844960"/>
    <w:rsid w:val="00847123"/>
    <w:rsid w:val="00850402"/>
    <w:rsid w:val="00852956"/>
    <w:rsid w:val="008571B9"/>
    <w:rsid w:val="00860F7C"/>
    <w:rsid w:val="00872B90"/>
    <w:rsid w:val="00882F3C"/>
    <w:rsid w:val="0089635D"/>
    <w:rsid w:val="00896482"/>
    <w:rsid w:val="008A03AC"/>
    <w:rsid w:val="008A0643"/>
    <w:rsid w:val="008A1915"/>
    <w:rsid w:val="008B3965"/>
    <w:rsid w:val="008B4498"/>
    <w:rsid w:val="008C4AFD"/>
    <w:rsid w:val="008D3082"/>
    <w:rsid w:val="008E3FFE"/>
    <w:rsid w:val="008E600C"/>
    <w:rsid w:val="008E64A4"/>
    <w:rsid w:val="008E7F83"/>
    <w:rsid w:val="008F23A9"/>
    <w:rsid w:val="008F3A3F"/>
    <w:rsid w:val="008F7515"/>
    <w:rsid w:val="00900DCA"/>
    <w:rsid w:val="00907C16"/>
    <w:rsid w:val="00921380"/>
    <w:rsid w:val="009314C9"/>
    <w:rsid w:val="00936220"/>
    <w:rsid w:val="0094077E"/>
    <w:rsid w:val="009408CE"/>
    <w:rsid w:val="00955795"/>
    <w:rsid w:val="00964E40"/>
    <w:rsid w:val="0096574E"/>
    <w:rsid w:val="0096585A"/>
    <w:rsid w:val="00971779"/>
    <w:rsid w:val="009748AD"/>
    <w:rsid w:val="00976C53"/>
    <w:rsid w:val="00981BA2"/>
    <w:rsid w:val="00983265"/>
    <w:rsid w:val="00985783"/>
    <w:rsid w:val="009A11D4"/>
    <w:rsid w:val="009B0B0F"/>
    <w:rsid w:val="009B1646"/>
    <w:rsid w:val="009B1A56"/>
    <w:rsid w:val="009B6680"/>
    <w:rsid w:val="009C3180"/>
    <w:rsid w:val="009D5B8F"/>
    <w:rsid w:val="009E11FF"/>
    <w:rsid w:val="009E6A2B"/>
    <w:rsid w:val="009E6EEA"/>
    <w:rsid w:val="009F65DF"/>
    <w:rsid w:val="009F72A3"/>
    <w:rsid w:val="00A07244"/>
    <w:rsid w:val="00A1011D"/>
    <w:rsid w:val="00A11C80"/>
    <w:rsid w:val="00A20239"/>
    <w:rsid w:val="00A20E2A"/>
    <w:rsid w:val="00A23CA4"/>
    <w:rsid w:val="00A25504"/>
    <w:rsid w:val="00A41ACD"/>
    <w:rsid w:val="00A43F2D"/>
    <w:rsid w:val="00A45F7A"/>
    <w:rsid w:val="00A52ABD"/>
    <w:rsid w:val="00A55567"/>
    <w:rsid w:val="00A60651"/>
    <w:rsid w:val="00A63785"/>
    <w:rsid w:val="00A644C9"/>
    <w:rsid w:val="00A720CC"/>
    <w:rsid w:val="00A807E0"/>
    <w:rsid w:val="00A812EE"/>
    <w:rsid w:val="00A85561"/>
    <w:rsid w:val="00A857F3"/>
    <w:rsid w:val="00A93404"/>
    <w:rsid w:val="00AA0A82"/>
    <w:rsid w:val="00AA15EE"/>
    <w:rsid w:val="00AA1FEE"/>
    <w:rsid w:val="00AA323E"/>
    <w:rsid w:val="00AD31E7"/>
    <w:rsid w:val="00AD4839"/>
    <w:rsid w:val="00AE2F64"/>
    <w:rsid w:val="00AE72A9"/>
    <w:rsid w:val="00AE74E0"/>
    <w:rsid w:val="00AF143A"/>
    <w:rsid w:val="00AF24EA"/>
    <w:rsid w:val="00B01170"/>
    <w:rsid w:val="00B07610"/>
    <w:rsid w:val="00B10196"/>
    <w:rsid w:val="00B124AD"/>
    <w:rsid w:val="00B12B5B"/>
    <w:rsid w:val="00B21902"/>
    <w:rsid w:val="00B2314C"/>
    <w:rsid w:val="00B24C00"/>
    <w:rsid w:val="00B35784"/>
    <w:rsid w:val="00B37B4E"/>
    <w:rsid w:val="00B43AEA"/>
    <w:rsid w:val="00B46FC9"/>
    <w:rsid w:val="00B61AB6"/>
    <w:rsid w:val="00B660DC"/>
    <w:rsid w:val="00B670D2"/>
    <w:rsid w:val="00B83F0C"/>
    <w:rsid w:val="00B84F2F"/>
    <w:rsid w:val="00B94AC2"/>
    <w:rsid w:val="00B97A92"/>
    <w:rsid w:val="00BA7FF3"/>
    <w:rsid w:val="00BB13D2"/>
    <w:rsid w:val="00BB22AC"/>
    <w:rsid w:val="00BB3E6F"/>
    <w:rsid w:val="00BB4635"/>
    <w:rsid w:val="00BC3E4F"/>
    <w:rsid w:val="00BC6092"/>
    <w:rsid w:val="00BD02C4"/>
    <w:rsid w:val="00BD2BBC"/>
    <w:rsid w:val="00BD3954"/>
    <w:rsid w:val="00BE405F"/>
    <w:rsid w:val="00BE5484"/>
    <w:rsid w:val="00BF20EB"/>
    <w:rsid w:val="00BF6335"/>
    <w:rsid w:val="00C01545"/>
    <w:rsid w:val="00C017E6"/>
    <w:rsid w:val="00C0311B"/>
    <w:rsid w:val="00C04431"/>
    <w:rsid w:val="00C0463A"/>
    <w:rsid w:val="00C059B9"/>
    <w:rsid w:val="00C11B32"/>
    <w:rsid w:val="00C23342"/>
    <w:rsid w:val="00C24292"/>
    <w:rsid w:val="00C31B49"/>
    <w:rsid w:val="00C34F8E"/>
    <w:rsid w:val="00C551D3"/>
    <w:rsid w:val="00C55C74"/>
    <w:rsid w:val="00C62ABD"/>
    <w:rsid w:val="00C66E9F"/>
    <w:rsid w:val="00C7098D"/>
    <w:rsid w:val="00C73AB3"/>
    <w:rsid w:val="00C746DC"/>
    <w:rsid w:val="00C7522C"/>
    <w:rsid w:val="00C85DAD"/>
    <w:rsid w:val="00C920B9"/>
    <w:rsid w:val="00CA3AAD"/>
    <w:rsid w:val="00CA6BC1"/>
    <w:rsid w:val="00CB3E20"/>
    <w:rsid w:val="00CB573E"/>
    <w:rsid w:val="00CC16B8"/>
    <w:rsid w:val="00CC4E09"/>
    <w:rsid w:val="00CD12AA"/>
    <w:rsid w:val="00CD69BC"/>
    <w:rsid w:val="00CD7085"/>
    <w:rsid w:val="00CE6F03"/>
    <w:rsid w:val="00CF1FFD"/>
    <w:rsid w:val="00CF3E60"/>
    <w:rsid w:val="00CF6583"/>
    <w:rsid w:val="00D0068E"/>
    <w:rsid w:val="00D04B02"/>
    <w:rsid w:val="00D14C79"/>
    <w:rsid w:val="00D21CAB"/>
    <w:rsid w:val="00D23AAC"/>
    <w:rsid w:val="00D23E33"/>
    <w:rsid w:val="00D30E3E"/>
    <w:rsid w:val="00D3165C"/>
    <w:rsid w:val="00D343F9"/>
    <w:rsid w:val="00D34943"/>
    <w:rsid w:val="00D40117"/>
    <w:rsid w:val="00D41350"/>
    <w:rsid w:val="00D448C3"/>
    <w:rsid w:val="00D45E54"/>
    <w:rsid w:val="00D47154"/>
    <w:rsid w:val="00D47AE6"/>
    <w:rsid w:val="00D513F3"/>
    <w:rsid w:val="00D56EB5"/>
    <w:rsid w:val="00D6039D"/>
    <w:rsid w:val="00D647EE"/>
    <w:rsid w:val="00D66B95"/>
    <w:rsid w:val="00D74CDC"/>
    <w:rsid w:val="00D76268"/>
    <w:rsid w:val="00D8794D"/>
    <w:rsid w:val="00D926F6"/>
    <w:rsid w:val="00D97E50"/>
    <w:rsid w:val="00DA13AC"/>
    <w:rsid w:val="00DA1944"/>
    <w:rsid w:val="00DA5398"/>
    <w:rsid w:val="00DA635C"/>
    <w:rsid w:val="00DA7844"/>
    <w:rsid w:val="00DC505F"/>
    <w:rsid w:val="00DC5DE4"/>
    <w:rsid w:val="00DD060F"/>
    <w:rsid w:val="00DD77A4"/>
    <w:rsid w:val="00DE7C19"/>
    <w:rsid w:val="00DF0471"/>
    <w:rsid w:val="00DF16E9"/>
    <w:rsid w:val="00DF58CC"/>
    <w:rsid w:val="00E03D36"/>
    <w:rsid w:val="00E122D4"/>
    <w:rsid w:val="00E12D50"/>
    <w:rsid w:val="00E1646C"/>
    <w:rsid w:val="00E2015F"/>
    <w:rsid w:val="00E240DA"/>
    <w:rsid w:val="00E2609A"/>
    <w:rsid w:val="00E348C3"/>
    <w:rsid w:val="00E3652D"/>
    <w:rsid w:val="00E36C0E"/>
    <w:rsid w:val="00E373A0"/>
    <w:rsid w:val="00E418B3"/>
    <w:rsid w:val="00E44048"/>
    <w:rsid w:val="00E44195"/>
    <w:rsid w:val="00E521DE"/>
    <w:rsid w:val="00E526C4"/>
    <w:rsid w:val="00E53472"/>
    <w:rsid w:val="00E5407F"/>
    <w:rsid w:val="00E5432D"/>
    <w:rsid w:val="00E56AD0"/>
    <w:rsid w:val="00E6168E"/>
    <w:rsid w:val="00E62C6A"/>
    <w:rsid w:val="00E65138"/>
    <w:rsid w:val="00E67BE3"/>
    <w:rsid w:val="00E7185D"/>
    <w:rsid w:val="00E73C88"/>
    <w:rsid w:val="00E755F9"/>
    <w:rsid w:val="00E77825"/>
    <w:rsid w:val="00E77E11"/>
    <w:rsid w:val="00E81EF1"/>
    <w:rsid w:val="00E84F9A"/>
    <w:rsid w:val="00E862AA"/>
    <w:rsid w:val="00E9137B"/>
    <w:rsid w:val="00E92855"/>
    <w:rsid w:val="00EB22B0"/>
    <w:rsid w:val="00EC2D96"/>
    <w:rsid w:val="00EC3CF5"/>
    <w:rsid w:val="00EC3E6F"/>
    <w:rsid w:val="00ED27DA"/>
    <w:rsid w:val="00ED32B2"/>
    <w:rsid w:val="00ED4F7C"/>
    <w:rsid w:val="00ED69ED"/>
    <w:rsid w:val="00EE0891"/>
    <w:rsid w:val="00EE3B35"/>
    <w:rsid w:val="00EF07FD"/>
    <w:rsid w:val="00EF22B7"/>
    <w:rsid w:val="00EF63B5"/>
    <w:rsid w:val="00F0058D"/>
    <w:rsid w:val="00F07FE5"/>
    <w:rsid w:val="00F15B05"/>
    <w:rsid w:val="00F17C02"/>
    <w:rsid w:val="00F2157A"/>
    <w:rsid w:val="00F253E0"/>
    <w:rsid w:val="00F25514"/>
    <w:rsid w:val="00F25EED"/>
    <w:rsid w:val="00F25FE3"/>
    <w:rsid w:val="00F33A19"/>
    <w:rsid w:val="00F42CFB"/>
    <w:rsid w:val="00F43760"/>
    <w:rsid w:val="00F45E9E"/>
    <w:rsid w:val="00F70F31"/>
    <w:rsid w:val="00F72DDE"/>
    <w:rsid w:val="00F732EB"/>
    <w:rsid w:val="00F73384"/>
    <w:rsid w:val="00F738F5"/>
    <w:rsid w:val="00F81B46"/>
    <w:rsid w:val="00F86ADF"/>
    <w:rsid w:val="00F86D4C"/>
    <w:rsid w:val="00F87217"/>
    <w:rsid w:val="00F87FF1"/>
    <w:rsid w:val="00FA13A1"/>
    <w:rsid w:val="00FA311A"/>
    <w:rsid w:val="00FA4FCE"/>
    <w:rsid w:val="00FA7BD4"/>
    <w:rsid w:val="00FB13CA"/>
    <w:rsid w:val="00FC012A"/>
    <w:rsid w:val="00FC0F25"/>
    <w:rsid w:val="00FC2EAD"/>
    <w:rsid w:val="00FD164A"/>
    <w:rsid w:val="00FD1651"/>
    <w:rsid w:val="00FD3AB7"/>
    <w:rsid w:val="00FE12BD"/>
    <w:rsid w:val="00FE575E"/>
    <w:rsid w:val="00FE6FDD"/>
    <w:rsid w:val="00FE7BBA"/>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7728"/>
  <w15:chartTrackingRefBased/>
  <w15:docId w15:val="{F49DEFFB-D21A-4B52-A0A6-466CB6BF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AD"/>
  </w:style>
  <w:style w:type="paragraph" w:styleId="Footer">
    <w:name w:val="footer"/>
    <w:basedOn w:val="Normal"/>
    <w:link w:val="FooterChar"/>
    <w:uiPriority w:val="99"/>
    <w:unhideWhenUsed/>
    <w:rsid w:val="00B1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AD"/>
  </w:style>
  <w:style w:type="character" w:styleId="Hyperlink">
    <w:name w:val="Hyperlink"/>
    <w:basedOn w:val="DefaultParagraphFont"/>
    <w:uiPriority w:val="99"/>
    <w:unhideWhenUsed/>
    <w:rsid w:val="00C7522C"/>
    <w:rPr>
      <w:color w:val="0563C1" w:themeColor="hyperlink"/>
      <w:u w:val="single"/>
    </w:rPr>
  </w:style>
  <w:style w:type="character" w:styleId="CommentReference">
    <w:name w:val="annotation reference"/>
    <w:basedOn w:val="DefaultParagraphFont"/>
    <w:uiPriority w:val="99"/>
    <w:semiHidden/>
    <w:unhideWhenUsed/>
    <w:rsid w:val="00DF58CC"/>
    <w:rPr>
      <w:sz w:val="16"/>
      <w:szCs w:val="16"/>
    </w:rPr>
  </w:style>
  <w:style w:type="paragraph" w:styleId="CommentText">
    <w:name w:val="annotation text"/>
    <w:basedOn w:val="Normal"/>
    <w:link w:val="CommentTextChar"/>
    <w:uiPriority w:val="99"/>
    <w:semiHidden/>
    <w:unhideWhenUsed/>
    <w:rsid w:val="00DF58CC"/>
    <w:pPr>
      <w:spacing w:line="240" w:lineRule="auto"/>
    </w:pPr>
    <w:rPr>
      <w:sz w:val="20"/>
      <w:szCs w:val="20"/>
    </w:rPr>
  </w:style>
  <w:style w:type="character" w:customStyle="1" w:styleId="CommentTextChar">
    <w:name w:val="Comment Text Char"/>
    <w:basedOn w:val="DefaultParagraphFont"/>
    <w:link w:val="CommentText"/>
    <w:uiPriority w:val="99"/>
    <w:semiHidden/>
    <w:rsid w:val="00DF58CC"/>
    <w:rPr>
      <w:sz w:val="20"/>
      <w:szCs w:val="20"/>
    </w:rPr>
  </w:style>
  <w:style w:type="paragraph" w:styleId="CommentSubject">
    <w:name w:val="annotation subject"/>
    <w:basedOn w:val="CommentText"/>
    <w:next w:val="CommentText"/>
    <w:link w:val="CommentSubjectChar"/>
    <w:uiPriority w:val="99"/>
    <w:semiHidden/>
    <w:unhideWhenUsed/>
    <w:rsid w:val="00DF58CC"/>
    <w:rPr>
      <w:b/>
      <w:bCs/>
    </w:rPr>
  </w:style>
  <w:style w:type="character" w:customStyle="1" w:styleId="CommentSubjectChar">
    <w:name w:val="Comment Subject Char"/>
    <w:basedOn w:val="CommentTextChar"/>
    <w:link w:val="CommentSubject"/>
    <w:uiPriority w:val="99"/>
    <w:semiHidden/>
    <w:rsid w:val="00DF58CC"/>
    <w:rPr>
      <w:b/>
      <w:bCs/>
      <w:sz w:val="20"/>
      <w:szCs w:val="20"/>
    </w:rPr>
  </w:style>
  <w:style w:type="paragraph" w:styleId="Revision">
    <w:name w:val="Revision"/>
    <w:hidden/>
    <w:uiPriority w:val="99"/>
    <w:semiHidden/>
    <w:rsid w:val="00DF58CC"/>
    <w:pPr>
      <w:spacing w:after="0" w:line="240" w:lineRule="auto"/>
    </w:pPr>
  </w:style>
  <w:style w:type="paragraph" w:styleId="BalloonText">
    <w:name w:val="Balloon Text"/>
    <w:basedOn w:val="Normal"/>
    <w:link w:val="BalloonTextChar"/>
    <w:uiPriority w:val="99"/>
    <w:semiHidden/>
    <w:unhideWhenUsed/>
    <w:rsid w:val="00DF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CC"/>
    <w:rPr>
      <w:rFonts w:ascii="Segoe UI" w:hAnsi="Segoe UI" w:cs="Segoe UI"/>
      <w:sz w:val="18"/>
      <w:szCs w:val="18"/>
    </w:rPr>
  </w:style>
  <w:style w:type="character" w:styleId="FollowedHyperlink">
    <w:name w:val="FollowedHyperlink"/>
    <w:basedOn w:val="DefaultParagraphFont"/>
    <w:uiPriority w:val="99"/>
    <w:semiHidden/>
    <w:unhideWhenUsed/>
    <w:rsid w:val="00F45E9E"/>
    <w:rPr>
      <w:color w:val="954F72" w:themeColor="followedHyperlink"/>
      <w:u w:val="single"/>
    </w:rPr>
  </w:style>
  <w:style w:type="paragraph" w:styleId="ListParagraph">
    <w:name w:val="List Paragraph"/>
    <w:basedOn w:val="Normal"/>
    <w:uiPriority w:val="34"/>
    <w:qFormat/>
    <w:rsid w:val="00B2314C"/>
    <w:pPr>
      <w:ind w:left="720"/>
      <w:contextualSpacing/>
    </w:pPr>
  </w:style>
  <w:style w:type="table" w:styleId="TableGrid">
    <w:name w:val="Table Grid"/>
    <w:basedOn w:val="TableNormal"/>
    <w:uiPriority w:val="39"/>
    <w:rsid w:val="003D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3931">
      <w:bodyDiv w:val="1"/>
      <w:marLeft w:val="0"/>
      <w:marRight w:val="0"/>
      <w:marTop w:val="0"/>
      <w:marBottom w:val="0"/>
      <w:divBdr>
        <w:top w:val="none" w:sz="0" w:space="0" w:color="auto"/>
        <w:left w:val="none" w:sz="0" w:space="0" w:color="auto"/>
        <w:bottom w:val="none" w:sz="0" w:space="0" w:color="auto"/>
        <w:right w:val="none" w:sz="0" w:space="0" w:color="auto"/>
      </w:divBdr>
    </w:div>
    <w:div w:id="1353915376">
      <w:bodyDiv w:val="1"/>
      <w:marLeft w:val="0"/>
      <w:marRight w:val="0"/>
      <w:marTop w:val="0"/>
      <w:marBottom w:val="0"/>
      <w:divBdr>
        <w:top w:val="none" w:sz="0" w:space="0" w:color="auto"/>
        <w:left w:val="none" w:sz="0" w:space="0" w:color="auto"/>
        <w:bottom w:val="none" w:sz="0" w:space="0" w:color="auto"/>
        <w:right w:val="none" w:sz="0" w:space="0" w:color="auto"/>
      </w:divBdr>
      <w:divsChild>
        <w:div w:id="1802534126">
          <w:marLeft w:val="300"/>
          <w:marRight w:val="0"/>
          <w:marTop w:val="90"/>
          <w:marBottom w:val="300"/>
          <w:divBdr>
            <w:top w:val="none" w:sz="0" w:space="0" w:color="auto"/>
            <w:left w:val="none" w:sz="0" w:space="0" w:color="auto"/>
            <w:bottom w:val="none" w:sz="0" w:space="0" w:color="auto"/>
            <w:right w:val="none" w:sz="0" w:space="0" w:color="auto"/>
          </w:divBdr>
        </w:div>
        <w:div w:id="1745029351">
          <w:marLeft w:val="300"/>
          <w:marRight w:val="0"/>
          <w:marTop w:val="90"/>
          <w:marBottom w:val="300"/>
          <w:divBdr>
            <w:top w:val="none" w:sz="0" w:space="0" w:color="auto"/>
            <w:left w:val="none" w:sz="0" w:space="0" w:color="auto"/>
            <w:bottom w:val="none" w:sz="0" w:space="0" w:color="auto"/>
            <w:right w:val="none" w:sz="0" w:space="0" w:color="auto"/>
          </w:divBdr>
        </w:div>
        <w:div w:id="293367882">
          <w:marLeft w:val="300"/>
          <w:marRight w:val="0"/>
          <w:marTop w:val="90"/>
          <w:marBottom w:val="300"/>
          <w:divBdr>
            <w:top w:val="none" w:sz="0" w:space="0" w:color="auto"/>
            <w:left w:val="none" w:sz="0" w:space="0" w:color="auto"/>
            <w:bottom w:val="none" w:sz="0" w:space="0" w:color="auto"/>
            <w:right w:val="none" w:sz="0" w:space="0" w:color="auto"/>
          </w:divBdr>
        </w:div>
        <w:div w:id="2106226547">
          <w:marLeft w:val="300"/>
          <w:marRight w:val="0"/>
          <w:marTop w:val="90"/>
          <w:marBottom w:val="300"/>
          <w:divBdr>
            <w:top w:val="none" w:sz="0" w:space="0" w:color="auto"/>
            <w:left w:val="none" w:sz="0" w:space="0" w:color="auto"/>
            <w:bottom w:val="none" w:sz="0" w:space="0" w:color="auto"/>
            <w:right w:val="none" w:sz="0" w:space="0" w:color="auto"/>
          </w:divBdr>
        </w:div>
        <w:div w:id="789860784">
          <w:marLeft w:val="300"/>
          <w:marRight w:val="0"/>
          <w:marTop w:val="90"/>
          <w:marBottom w:val="300"/>
          <w:divBdr>
            <w:top w:val="none" w:sz="0" w:space="0" w:color="auto"/>
            <w:left w:val="none" w:sz="0" w:space="0" w:color="auto"/>
            <w:bottom w:val="none" w:sz="0" w:space="0" w:color="auto"/>
            <w:right w:val="none" w:sz="0" w:space="0" w:color="auto"/>
          </w:divBdr>
        </w:div>
        <w:div w:id="1888642310">
          <w:marLeft w:val="300"/>
          <w:marRight w:val="0"/>
          <w:marTop w:val="90"/>
          <w:marBottom w:val="300"/>
          <w:divBdr>
            <w:top w:val="none" w:sz="0" w:space="0" w:color="auto"/>
            <w:left w:val="none" w:sz="0" w:space="0" w:color="auto"/>
            <w:bottom w:val="none" w:sz="0" w:space="0" w:color="auto"/>
            <w:right w:val="none" w:sz="0" w:space="0" w:color="auto"/>
          </w:divBdr>
        </w:div>
        <w:div w:id="1270428485">
          <w:marLeft w:val="300"/>
          <w:marRight w:val="0"/>
          <w:marTop w:val="90"/>
          <w:marBottom w:val="300"/>
          <w:divBdr>
            <w:top w:val="none" w:sz="0" w:space="0" w:color="auto"/>
            <w:left w:val="none" w:sz="0" w:space="0" w:color="auto"/>
            <w:bottom w:val="none" w:sz="0" w:space="0" w:color="auto"/>
            <w:right w:val="none" w:sz="0" w:space="0" w:color="auto"/>
          </w:divBdr>
        </w:div>
        <w:div w:id="1759868138">
          <w:marLeft w:val="300"/>
          <w:marRight w:val="0"/>
          <w:marTop w:val="90"/>
          <w:marBottom w:val="300"/>
          <w:divBdr>
            <w:top w:val="none" w:sz="0" w:space="0" w:color="auto"/>
            <w:left w:val="none" w:sz="0" w:space="0" w:color="auto"/>
            <w:bottom w:val="none" w:sz="0" w:space="0" w:color="auto"/>
            <w:right w:val="none" w:sz="0" w:space="0" w:color="auto"/>
          </w:divBdr>
        </w:div>
        <w:div w:id="1833329938">
          <w:marLeft w:val="300"/>
          <w:marRight w:val="0"/>
          <w:marTop w:val="90"/>
          <w:marBottom w:val="300"/>
          <w:divBdr>
            <w:top w:val="none" w:sz="0" w:space="0" w:color="auto"/>
            <w:left w:val="none" w:sz="0" w:space="0" w:color="auto"/>
            <w:bottom w:val="none" w:sz="0" w:space="0" w:color="auto"/>
            <w:right w:val="none" w:sz="0" w:space="0" w:color="auto"/>
          </w:divBdr>
        </w:div>
        <w:div w:id="184222688">
          <w:marLeft w:val="300"/>
          <w:marRight w:val="0"/>
          <w:marTop w:val="90"/>
          <w:marBottom w:val="300"/>
          <w:divBdr>
            <w:top w:val="none" w:sz="0" w:space="0" w:color="auto"/>
            <w:left w:val="none" w:sz="0" w:space="0" w:color="auto"/>
            <w:bottom w:val="none" w:sz="0" w:space="0" w:color="auto"/>
            <w:right w:val="none" w:sz="0" w:space="0" w:color="auto"/>
          </w:divBdr>
        </w:div>
        <w:div w:id="894581119">
          <w:marLeft w:val="300"/>
          <w:marRight w:val="0"/>
          <w:marTop w:val="90"/>
          <w:marBottom w:val="300"/>
          <w:divBdr>
            <w:top w:val="none" w:sz="0" w:space="0" w:color="auto"/>
            <w:left w:val="none" w:sz="0" w:space="0" w:color="auto"/>
            <w:bottom w:val="none" w:sz="0" w:space="0" w:color="auto"/>
            <w:right w:val="none" w:sz="0" w:space="0" w:color="auto"/>
          </w:divBdr>
        </w:div>
        <w:div w:id="1349286910">
          <w:marLeft w:val="300"/>
          <w:marRight w:val="0"/>
          <w:marTop w:val="90"/>
          <w:marBottom w:val="300"/>
          <w:divBdr>
            <w:top w:val="none" w:sz="0" w:space="0" w:color="auto"/>
            <w:left w:val="none" w:sz="0" w:space="0" w:color="auto"/>
            <w:bottom w:val="none" w:sz="0" w:space="0" w:color="auto"/>
            <w:right w:val="none" w:sz="0" w:space="0" w:color="auto"/>
          </w:divBdr>
        </w:div>
        <w:div w:id="1917519663">
          <w:marLeft w:val="300"/>
          <w:marRight w:val="0"/>
          <w:marTop w:val="90"/>
          <w:marBottom w:val="300"/>
          <w:divBdr>
            <w:top w:val="none" w:sz="0" w:space="0" w:color="auto"/>
            <w:left w:val="none" w:sz="0" w:space="0" w:color="auto"/>
            <w:bottom w:val="none" w:sz="0" w:space="0" w:color="auto"/>
            <w:right w:val="none" w:sz="0" w:space="0" w:color="auto"/>
          </w:divBdr>
        </w:div>
        <w:div w:id="699741115">
          <w:marLeft w:val="300"/>
          <w:marRight w:val="0"/>
          <w:marTop w:val="90"/>
          <w:marBottom w:val="300"/>
          <w:divBdr>
            <w:top w:val="none" w:sz="0" w:space="0" w:color="auto"/>
            <w:left w:val="none" w:sz="0" w:space="0" w:color="auto"/>
            <w:bottom w:val="none" w:sz="0" w:space="0" w:color="auto"/>
            <w:right w:val="none" w:sz="0" w:space="0" w:color="auto"/>
          </w:divBdr>
        </w:div>
        <w:div w:id="916287767">
          <w:marLeft w:val="300"/>
          <w:marRight w:val="0"/>
          <w:marTop w:val="90"/>
          <w:marBottom w:val="300"/>
          <w:divBdr>
            <w:top w:val="none" w:sz="0" w:space="0" w:color="auto"/>
            <w:left w:val="none" w:sz="0" w:space="0" w:color="auto"/>
            <w:bottom w:val="none" w:sz="0" w:space="0" w:color="auto"/>
            <w:right w:val="none" w:sz="0" w:space="0" w:color="auto"/>
          </w:divBdr>
        </w:div>
        <w:div w:id="639728540">
          <w:marLeft w:val="300"/>
          <w:marRight w:val="0"/>
          <w:marTop w:val="90"/>
          <w:marBottom w:val="300"/>
          <w:divBdr>
            <w:top w:val="none" w:sz="0" w:space="0" w:color="auto"/>
            <w:left w:val="none" w:sz="0" w:space="0" w:color="auto"/>
            <w:bottom w:val="none" w:sz="0" w:space="0" w:color="auto"/>
            <w:right w:val="none" w:sz="0" w:space="0" w:color="auto"/>
          </w:divBdr>
        </w:div>
        <w:div w:id="1318991704">
          <w:marLeft w:val="300"/>
          <w:marRight w:val="0"/>
          <w:marTop w:val="90"/>
          <w:marBottom w:val="300"/>
          <w:divBdr>
            <w:top w:val="none" w:sz="0" w:space="0" w:color="auto"/>
            <w:left w:val="none" w:sz="0" w:space="0" w:color="auto"/>
            <w:bottom w:val="none" w:sz="0" w:space="0" w:color="auto"/>
            <w:right w:val="none" w:sz="0" w:space="0" w:color="auto"/>
          </w:divBdr>
        </w:div>
        <w:div w:id="1140852254">
          <w:marLeft w:val="300"/>
          <w:marRight w:val="0"/>
          <w:marTop w:val="90"/>
          <w:marBottom w:val="300"/>
          <w:divBdr>
            <w:top w:val="none" w:sz="0" w:space="0" w:color="auto"/>
            <w:left w:val="none" w:sz="0" w:space="0" w:color="auto"/>
            <w:bottom w:val="none" w:sz="0" w:space="0" w:color="auto"/>
            <w:right w:val="none" w:sz="0" w:space="0" w:color="auto"/>
          </w:divBdr>
        </w:div>
        <w:div w:id="949630189">
          <w:marLeft w:val="300"/>
          <w:marRight w:val="0"/>
          <w:marTop w:val="90"/>
          <w:marBottom w:val="300"/>
          <w:divBdr>
            <w:top w:val="none" w:sz="0" w:space="0" w:color="auto"/>
            <w:left w:val="none" w:sz="0" w:space="0" w:color="auto"/>
            <w:bottom w:val="none" w:sz="0" w:space="0" w:color="auto"/>
            <w:right w:val="none" w:sz="0" w:space="0" w:color="auto"/>
          </w:divBdr>
        </w:div>
        <w:div w:id="2108232981">
          <w:marLeft w:val="300"/>
          <w:marRight w:val="0"/>
          <w:marTop w:val="90"/>
          <w:marBottom w:val="300"/>
          <w:divBdr>
            <w:top w:val="none" w:sz="0" w:space="0" w:color="auto"/>
            <w:left w:val="none" w:sz="0" w:space="0" w:color="auto"/>
            <w:bottom w:val="none" w:sz="0" w:space="0" w:color="auto"/>
            <w:right w:val="none" w:sz="0" w:space="0" w:color="auto"/>
          </w:divBdr>
        </w:div>
        <w:div w:id="1309432526">
          <w:marLeft w:val="300"/>
          <w:marRight w:val="0"/>
          <w:marTop w:val="90"/>
          <w:marBottom w:val="300"/>
          <w:divBdr>
            <w:top w:val="none" w:sz="0" w:space="0" w:color="auto"/>
            <w:left w:val="none" w:sz="0" w:space="0" w:color="auto"/>
            <w:bottom w:val="none" w:sz="0" w:space="0" w:color="auto"/>
            <w:right w:val="none" w:sz="0" w:space="0" w:color="auto"/>
          </w:divBdr>
        </w:div>
        <w:div w:id="989091932">
          <w:marLeft w:val="300"/>
          <w:marRight w:val="0"/>
          <w:marTop w:val="90"/>
          <w:marBottom w:val="300"/>
          <w:divBdr>
            <w:top w:val="none" w:sz="0" w:space="0" w:color="auto"/>
            <w:left w:val="none" w:sz="0" w:space="0" w:color="auto"/>
            <w:bottom w:val="none" w:sz="0" w:space="0" w:color="auto"/>
            <w:right w:val="none" w:sz="0" w:space="0" w:color="auto"/>
          </w:divBdr>
        </w:div>
        <w:div w:id="1711687269">
          <w:marLeft w:val="300"/>
          <w:marRight w:val="0"/>
          <w:marTop w:val="90"/>
          <w:marBottom w:val="300"/>
          <w:divBdr>
            <w:top w:val="none" w:sz="0" w:space="0" w:color="auto"/>
            <w:left w:val="none" w:sz="0" w:space="0" w:color="auto"/>
            <w:bottom w:val="none" w:sz="0" w:space="0" w:color="auto"/>
            <w:right w:val="none" w:sz="0" w:space="0" w:color="auto"/>
          </w:divBdr>
        </w:div>
        <w:div w:id="619608001">
          <w:marLeft w:val="300"/>
          <w:marRight w:val="0"/>
          <w:marTop w:val="90"/>
          <w:marBottom w:val="300"/>
          <w:divBdr>
            <w:top w:val="none" w:sz="0" w:space="0" w:color="auto"/>
            <w:left w:val="none" w:sz="0" w:space="0" w:color="auto"/>
            <w:bottom w:val="none" w:sz="0" w:space="0" w:color="auto"/>
            <w:right w:val="none" w:sz="0" w:space="0" w:color="auto"/>
          </w:divBdr>
        </w:div>
        <w:div w:id="1681470772">
          <w:marLeft w:val="300"/>
          <w:marRight w:val="0"/>
          <w:marTop w:val="90"/>
          <w:marBottom w:val="300"/>
          <w:divBdr>
            <w:top w:val="none" w:sz="0" w:space="0" w:color="auto"/>
            <w:left w:val="none" w:sz="0" w:space="0" w:color="auto"/>
            <w:bottom w:val="none" w:sz="0" w:space="0" w:color="auto"/>
            <w:right w:val="none" w:sz="0" w:space="0" w:color="auto"/>
          </w:divBdr>
        </w:div>
        <w:div w:id="804854695">
          <w:marLeft w:val="300"/>
          <w:marRight w:val="0"/>
          <w:marTop w:val="90"/>
          <w:marBottom w:val="300"/>
          <w:divBdr>
            <w:top w:val="none" w:sz="0" w:space="0" w:color="auto"/>
            <w:left w:val="none" w:sz="0" w:space="0" w:color="auto"/>
            <w:bottom w:val="none" w:sz="0" w:space="0" w:color="auto"/>
            <w:right w:val="none" w:sz="0" w:space="0" w:color="auto"/>
          </w:divBdr>
        </w:div>
        <w:div w:id="2003965934">
          <w:marLeft w:val="300"/>
          <w:marRight w:val="0"/>
          <w:marTop w:val="90"/>
          <w:marBottom w:val="300"/>
          <w:divBdr>
            <w:top w:val="none" w:sz="0" w:space="0" w:color="auto"/>
            <w:left w:val="none" w:sz="0" w:space="0" w:color="auto"/>
            <w:bottom w:val="none" w:sz="0" w:space="0" w:color="auto"/>
            <w:right w:val="none" w:sz="0" w:space="0" w:color="auto"/>
          </w:divBdr>
        </w:div>
        <w:div w:id="270939051">
          <w:marLeft w:val="300"/>
          <w:marRight w:val="0"/>
          <w:marTop w:val="90"/>
          <w:marBottom w:val="300"/>
          <w:divBdr>
            <w:top w:val="none" w:sz="0" w:space="0" w:color="auto"/>
            <w:left w:val="none" w:sz="0" w:space="0" w:color="auto"/>
            <w:bottom w:val="none" w:sz="0" w:space="0" w:color="auto"/>
            <w:right w:val="none" w:sz="0" w:space="0" w:color="auto"/>
          </w:divBdr>
        </w:div>
        <w:div w:id="808283949">
          <w:marLeft w:val="300"/>
          <w:marRight w:val="0"/>
          <w:marTop w:val="90"/>
          <w:marBottom w:val="300"/>
          <w:divBdr>
            <w:top w:val="none" w:sz="0" w:space="0" w:color="auto"/>
            <w:left w:val="none" w:sz="0" w:space="0" w:color="auto"/>
            <w:bottom w:val="none" w:sz="0" w:space="0" w:color="auto"/>
            <w:right w:val="none" w:sz="0" w:space="0" w:color="auto"/>
          </w:divBdr>
        </w:div>
        <w:div w:id="792284243">
          <w:marLeft w:val="300"/>
          <w:marRight w:val="0"/>
          <w:marTop w:val="90"/>
          <w:marBottom w:val="300"/>
          <w:divBdr>
            <w:top w:val="none" w:sz="0" w:space="0" w:color="auto"/>
            <w:left w:val="none" w:sz="0" w:space="0" w:color="auto"/>
            <w:bottom w:val="none" w:sz="0" w:space="0" w:color="auto"/>
            <w:right w:val="none" w:sz="0" w:space="0" w:color="auto"/>
          </w:divBdr>
        </w:div>
        <w:div w:id="71450275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plos.org/plosone/article?id=10.1371/journal.pone.0035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{6021A0C2-7C87-4A16-B358-8A67B12019A5}</b:Guid>
    <b:RefOrder>1</b:RefOrder>
  </b:Source>
</b:Sources>
</file>

<file path=customXml/itemProps1.xml><?xml version="1.0" encoding="utf-8"?>
<ds:datastoreItem xmlns:ds="http://schemas.openxmlformats.org/officeDocument/2006/customXml" ds:itemID="{6A9EDF1F-20C8-4FA3-9A84-3D5672D1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15</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Harless</dc:creator>
  <cp:keywords/>
  <dc:description/>
  <cp:lastModifiedBy>Casey Harless</cp:lastModifiedBy>
  <cp:revision>45</cp:revision>
  <dcterms:created xsi:type="dcterms:W3CDTF">2018-11-25T07:54:00Z</dcterms:created>
  <dcterms:modified xsi:type="dcterms:W3CDTF">2018-11-25T18:20:00Z</dcterms:modified>
</cp:coreProperties>
</file>