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5212" w14:textId="77777777" w:rsidR="007013F6" w:rsidRDefault="007013F6" w:rsidP="007013F6">
      <w:pPr>
        <w:spacing w:after="0" w:line="240" w:lineRule="auto"/>
        <w:jc w:val="center"/>
        <w:rPr>
          <w:rFonts w:ascii="Times New Roman" w:hAnsi="Times New Roman" w:cs="Times New Roman"/>
          <w:b/>
          <w:i/>
        </w:rPr>
      </w:pPr>
      <w:r>
        <w:rPr>
          <w:rFonts w:ascii="Times New Roman" w:hAnsi="Times New Roman" w:cs="Times New Roman"/>
          <w:b/>
          <w:i/>
        </w:rPr>
        <w:t>Furin deletion in B cells alters ADAM10 prodomain processing and the downstream effects on allergic asthma.</w:t>
      </w:r>
    </w:p>
    <w:p w14:paraId="2EFF405A" w14:textId="77777777" w:rsidR="007013F6" w:rsidRDefault="007013F6" w:rsidP="007013F6">
      <w:pPr>
        <w:spacing w:after="0" w:line="480" w:lineRule="auto"/>
        <w:jc w:val="both"/>
        <w:rPr>
          <w:rFonts w:ascii="Times New Roman" w:hAnsi="Times New Roman" w:cs="Times New Roman"/>
          <w:b/>
          <w:u w:val="single"/>
        </w:rPr>
      </w:pPr>
      <w:r w:rsidRPr="00845197">
        <w:rPr>
          <w:rFonts w:ascii="Times New Roman" w:hAnsi="Times New Roman" w:cs="Times New Roman"/>
          <w:b/>
          <w:u w:val="single"/>
        </w:rPr>
        <w:t>INTRODUCTION:</w:t>
      </w:r>
    </w:p>
    <w:p w14:paraId="11547EEF" w14:textId="77777777" w:rsidR="007013F6" w:rsidRPr="00B20C9E" w:rsidRDefault="007013F6" w:rsidP="007013F6">
      <w:pPr>
        <w:spacing w:after="0" w:line="480" w:lineRule="auto"/>
        <w:jc w:val="both"/>
        <w:rPr>
          <w:rFonts w:ascii="Times New Roman" w:hAnsi="Times New Roman" w:cs="Times New Roman"/>
        </w:rPr>
      </w:pPr>
      <w:r>
        <w:rPr>
          <w:rFonts w:ascii="Times New Roman" w:hAnsi="Times New Roman" w:cs="Times New Roman"/>
        </w:rPr>
        <w:tab/>
      </w:r>
      <w:r w:rsidRPr="00B20C9E">
        <w:rPr>
          <w:rFonts w:ascii="Times New Roman" w:hAnsi="Times New Roman" w:cs="Times New Roman"/>
        </w:rPr>
        <w:t>Asthma is a major economic issue in the United States. Asthma costs in the US are over 56 billion dollars annually. Approximately 1 in 12 adults</w:t>
      </w:r>
      <w:r>
        <w:rPr>
          <w:rFonts w:ascii="Times New Roman" w:hAnsi="Times New Roman" w:cs="Times New Roman"/>
        </w:rPr>
        <w:t xml:space="preserve"> </w:t>
      </w:r>
      <w:r w:rsidRPr="00B20C9E">
        <w:rPr>
          <w:rFonts w:ascii="Times New Roman" w:hAnsi="Times New Roman" w:cs="Times New Roman"/>
        </w:rPr>
        <w:t>has asthma and 1 in 10 children</w:t>
      </w:r>
      <w:r>
        <w:rPr>
          <w:rFonts w:ascii="Times New Roman" w:hAnsi="Times New Roman" w:cs="Times New Roman"/>
        </w:rPr>
        <w:t xml:space="preserve"> </w:t>
      </w:r>
      <w:r w:rsidRPr="00B20C9E">
        <w:rPr>
          <w:rFonts w:ascii="Times New Roman" w:hAnsi="Times New Roman" w:cs="Times New Roman"/>
        </w:rPr>
        <w:t xml:space="preserve">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"http://www.aaaai.org/about-aaaai/newsroom/asthma-statistics", "accessed" : { "date-parts" : [ [ "2017", "10", "22" ] ] }, "id" : "ITEM-1", "issued" : { "date-parts" : [ [ "0" ] ] }, "title" : "Asthma Statistics | AAAAI", "type" : "webpage" }, "uris" : [ "http://www.mendeley.com/documents/?uuid=01d1d4a1-33d9-3982-ac24-de5868421007" ] } ], "mendeley" : { "formattedCitation" : "(\u201cAsthma Statistics | AAAAI,\u201d n.d.)", "manualFormatting" : "(AAAAI, 2017)", "plainTextFormattedCitation" : "(\u201cAsthma Statistics | AAAAI,\u201d n.d.)", "previouslyFormattedCitation" : "(\u201cAsthma Statistics | AAAAI,\u201d n.d.)" }, "properties" : {  }, "schema" : "https://github.com/citation-style-language/schema/raw/master/csl-citation.json" }</w:instrText>
      </w:r>
      <w:r w:rsidRPr="00B20C9E">
        <w:rPr>
          <w:rFonts w:ascii="Times New Roman" w:hAnsi="Times New Roman" w:cs="Times New Roman"/>
        </w:rPr>
        <w:fldChar w:fldCharType="separate"/>
      </w:r>
      <w:r>
        <w:rPr>
          <w:rFonts w:ascii="Times New Roman" w:hAnsi="Times New Roman" w:cs="Times New Roman"/>
          <w:noProof/>
        </w:rPr>
        <w:t>(AAAAI, 2017</w:t>
      </w:r>
      <w:r w:rsidRPr="00B20C9E">
        <w:rPr>
          <w:rFonts w:ascii="Times New Roman" w:hAnsi="Times New Roman" w:cs="Times New Roman"/>
          <w:noProof/>
        </w:rPr>
        <w:t>)</w:t>
      </w:r>
      <w:r w:rsidRPr="00B20C9E">
        <w:rPr>
          <w:rFonts w:ascii="Times New Roman" w:hAnsi="Times New Roman" w:cs="Times New Roman"/>
        </w:rPr>
        <w:fldChar w:fldCharType="end"/>
      </w:r>
      <w:r w:rsidRPr="00B20C9E">
        <w:rPr>
          <w:rFonts w:ascii="Times New Roman" w:hAnsi="Times New Roman" w:cs="Times New Roman"/>
        </w:rPr>
        <w:t xml:space="preserve">. These rates are only continuing to grow. There is no cure for asthma, only treatments. The most common treatment </w:t>
      </w:r>
      <w:r>
        <w:rPr>
          <w:rFonts w:ascii="Times New Roman" w:hAnsi="Times New Roman" w:cs="Times New Roman"/>
        </w:rPr>
        <w:t>for severe asthma, steroids, have</w:t>
      </w:r>
      <w:r w:rsidRPr="00B20C9E">
        <w:rPr>
          <w:rFonts w:ascii="Times New Roman" w:hAnsi="Times New Roman" w:cs="Times New Roman"/>
        </w:rPr>
        <w:t xml:space="preserve"> severe side effects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"https://www.nhlbi.nih.gov/health/health-topics/topics/asthma/treatment", "accessed" : { "date-parts" : [ [ "2017", "11", "22" ] ] }, "id" : "ITEM-1", "issued" : { "date-parts" : [ [ "0" ] ] }, "title" : "How Is Asthma Treated and Controlled? - NHLBI, NIH", "type" : "webpage" }, "uris" : [ "http://www.mendeley.com/documents/?uuid=25dd92ed-96b3-3ab8-b953-96227a9c0eeb" ] } ], "mendeley" : { "formattedCitation" : "(\u201cHow Is Asthma Treated and Controlled? - NHLBI, NIH,\u201d n.d.)", "manualFormatting" : "(NHLBI, NIH, 2014)", "plainTextFormattedCitation" : "(\u201cHow Is Asthma Treated and Controlled? - NHLBI, NIH,\u201d n.d.)", "previouslyFormattedCitation" : "(\u201cHow Is Asthma Treated and Controlled? - NHLBI, NIH,\u201d n.d.)" }, "properties" : {  }, "schema" : "https://github.com/citation-style-language/schema/raw/master/csl-citation.json" }</w:instrText>
      </w:r>
      <w:r w:rsidRPr="00B20C9E">
        <w:rPr>
          <w:rFonts w:ascii="Times New Roman" w:hAnsi="Times New Roman" w:cs="Times New Roman"/>
        </w:rPr>
        <w:fldChar w:fldCharType="separate"/>
      </w:r>
      <w:r>
        <w:rPr>
          <w:rFonts w:ascii="Times New Roman" w:hAnsi="Times New Roman" w:cs="Times New Roman"/>
          <w:noProof/>
        </w:rPr>
        <w:t>(NHLBI, NIH, 2014</w:t>
      </w:r>
      <w:r w:rsidRPr="00B20C9E">
        <w:rPr>
          <w:rFonts w:ascii="Times New Roman" w:hAnsi="Times New Roman" w:cs="Times New Roman"/>
          <w:noProof/>
        </w:rPr>
        <w:t>)</w:t>
      </w:r>
      <w:r w:rsidRPr="00B20C9E">
        <w:rPr>
          <w:rFonts w:ascii="Times New Roman" w:hAnsi="Times New Roman" w:cs="Times New Roman"/>
        </w:rPr>
        <w:fldChar w:fldCharType="end"/>
      </w:r>
      <w:r w:rsidRPr="00B20C9E">
        <w:rPr>
          <w:rFonts w:ascii="Times New Roman" w:hAnsi="Times New Roman" w:cs="Times New Roman"/>
        </w:rPr>
        <w:t>. With prolonged use</w:t>
      </w:r>
      <w:r>
        <w:rPr>
          <w:rFonts w:ascii="Times New Roman" w:hAnsi="Times New Roman" w:cs="Times New Roman"/>
        </w:rPr>
        <w:t>,</w:t>
      </w:r>
      <w:r w:rsidRPr="00B20C9E">
        <w:rPr>
          <w:rFonts w:ascii="Times New Roman" w:hAnsi="Times New Roman" w:cs="Times New Roman"/>
        </w:rPr>
        <w:t xml:space="preserve"> these side effects can include: thrush (fungal infection in the mouth), high blood pressure in the eye or glaucoma (fluid buildup in the eye), osteoporosis (decreased bone thickness), and cataracts (cloudy eye lens)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"10.1002/14651858.CD009471.pub2", "author" : [ { "dropping-particle" : "", "family" : "Zhang", "given" : "Linjie", "non-dropping-particle" : "", "parse-names" : false, "suffix" : "" }, { "dropping-particle" : "", "family" : "Prietsch", "given" : "S\u00edlvio OM", "non-dropping-particle" : "", "parse-names" : false, "suffix" : "" }, { "dropping-particle" : "", "family" : "Ducharme", "given" : "Francine M", "non-dropping-particle" : "", "parse-names" : false, "suffix" : "" } ], "container-title" : "Cochrane Database of Systematic Reviews", "editor" : [ { "dropping-particle" : "", "family" : "Zhang", "given" : "Linjie", "non-dropping-particle" : "", "parse-names" : false, "suffix" : "" } ], "id" : "ITEM-1", "issued" : { "date-parts" : [ [ "2014", "7", "17" ] ] }, "publisher" : "John Wiley &amp; Sons, Ltd", "publisher-place" : "Chichester, UK", "title" : "Inhaled corticosteroids in children with persistent asthma: effects on growth", "type" : "chapter" }, "uris" : [ "http://www.mendeley.com/documents/?uuid=f95b0fba-989c-34fb-9b94-4ebd1cd9a66a" ] } ], "mendeley" : { "formattedCitation" : "(Zhang, Prietsch, &amp; Ducharme, 2014)", "plainTextFormattedCitation" : "(Zhang, Prietsch, &amp; Ducharme, 2014)", "previouslyFormattedCitation" : "(Zhang, Prietsch, &amp; Ducharme, 2014)"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(Zhang, Prietsch, &amp; Ducharme, 2014)</w:t>
      </w:r>
      <w:r w:rsidRPr="00B20C9E">
        <w:rPr>
          <w:rFonts w:ascii="Times New Roman" w:hAnsi="Times New Roman" w:cs="Times New Roman"/>
        </w:rPr>
        <w:fldChar w:fldCharType="end"/>
      </w:r>
      <w:r w:rsidRPr="00B20C9E">
        <w:rPr>
          <w:rFonts w:ascii="Times New Roman" w:hAnsi="Times New Roman" w:cs="Times New Roman"/>
        </w:rPr>
        <w:t>. The search for better treatments and even cures for asthma</w:t>
      </w:r>
      <w:r>
        <w:rPr>
          <w:rFonts w:ascii="Times New Roman" w:hAnsi="Times New Roman" w:cs="Times New Roman"/>
        </w:rPr>
        <w:t xml:space="preserve"> is</w:t>
      </w:r>
      <w:r w:rsidRPr="00B20C9E">
        <w:rPr>
          <w:rFonts w:ascii="Times New Roman" w:hAnsi="Times New Roman" w:cs="Times New Roman"/>
        </w:rPr>
        <w:t xml:space="preserve"> essential. </w:t>
      </w:r>
      <w:r w:rsidRPr="00B20C9E">
        <w:rPr>
          <w:rFonts w:ascii="Times New Roman" w:hAnsi="Times New Roman" w:cs="Times New Roman"/>
          <w:u w:val="single"/>
        </w:rPr>
        <w:t>A</w:t>
      </w:r>
      <w:r w:rsidRPr="00B20C9E">
        <w:rPr>
          <w:rFonts w:ascii="Times New Roman" w:hAnsi="Times New Roman" w:cs="Times New Roman"/>
        </w:rPr>
        <w:t xml:space="preserve"> </w:t>
      </w:r>
      <w:r w:rsidRPr="00B20C9E">
        <w:rPr>
          <w:rFonts w:ascii="Times New Roman" w:hAnsi="Times New Roman" w:cs="Times New Roman"/>
          <w:u w:val="single"/>
        </w:rPr>
        <w:t>D</w:t>
      </w:r>
      <w:r w:rsidRPr="00B20C9E">
        <w:rPr>
          <w:rFonts w:ascii="Times New Roman" w:hAnsi="Times New Roman" w:cs="Times New Roman"/>
        </w:rPr>
        <w:t xml:space="preserve">isintegrin </w:t>
      </w:r>
      <w:r w:rsidRPr="00B20C9E">
        <w:rPr>
          <w:rFonts w:ascii="Times New Roman" w:hAnsi="Times New Roman" w:cs="Times New Roman"/>
          <w:u w:val="single"/>
        </w:rPr>
        <w:t>a</w:t>
      </w:r>
      <w:r w:rsidRPr="00B20C9E">
        <w:rPr>
          <w:rFonts w:ascii="Times New Roman" w:hAnsi="Times New Roman" w:cs="Times New Roman"/>
        </w:rPr>
        <w:t xml:space="preserve">nd </w:t>
      </w:r>
      <w:r w:rsidRPr="00B20C9E">
        <w:rPr>
          <w:rFonts w:ascii="Times New Roman" w:hAnsi="Times New Roman" w:cs="Times New Roman"/>
          <w:u w:val="single"/>
        </w:rPr>
        <w:t>P</w:t>
      </w:r>
      <w:r w:rsidRPr="00B20C9E">
        <w:rPr>
          <w:rFonts w:ascii="Times New Roman" w:hAnsi="Times New Roman" w:cs="Times New Roman"/>
        </w:rPr>
        <w:t xml:space="preserve">roteinase (ADAM) 10 has been recently shown to be important in the immune system in regulating allergic disease. ADAM 10 is a key director of cellular processes by cleaving and shedding extracellular domain of a multitude of transmembrane receptors and ligands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"10.4049/jimmunol.1102172", "ISSN" : "1550-6606", "PMID" : "21998451", "abstract" : "A disintegrin and metalloproteinase 10 (ADAM10) is a zinc-dependent proteinase related to matrix metalloproteinases. ADAM10 has emerged as a key regulator of cellular processes by cleaving and shedding extracellular domains of multiple transmembrane receptors and ligands. We have developed B cell-specific ADAM10-deficient mice (ADAM10(B-/-)). In this study, we show that ADAM10 levels are significantly enhanced on germinal center B cells. Moreover, ADAM10(B-/-) mice had severely diminished primary and secondary responses after T-dependent immunization. ADAM10(B-/-) displayed impaired germinal center formation, had fewer follicular Th cells, decreased follicular dendritic cell networks, and altered chemokine expression in draining lymph nodes (LNs). Interestingly, when spleen and LN structures from immunized mice were analyzed for B and T cell localization, tissues structure was aberrant in ADAM10(B-/-) mice. Importantly, when ADAM10-deficient B cells were stimulated in vitro, they produced comparable Ab as wild type B cells. This result demonstrates that the defects in humoral responses in vivo result from inadequate B cell activation, likely because of the decrease in follicular Th cells and the changes in structure. Thus, ADAM10 is essential for the maintenance of lymphoid structure after Ag challenge.", "author" : [ { "dropping-particle" : "", "family" : "Chaimowitz", "given" : "Natalia S", "non-dropping-particle" : "", "parse-names" : false, "suffix" : "" }, { "dropping-particle" : "", "family" : "Martin", "given" : "Rebecca K", "non-dropping-particle" : "", "parse-names" : false, "suffix" : "" }, { "dropping-particle" : "", "family" : "Cichy", "given" : "Joanna", "non-dropping-particle" : "", "parse-names" : false, "suffix" : "" }, { "dropping-particle" : "", "family" : "Gibb", "given" : "David R", "non-dropping-particle" : "", "parse-names" : false, "suffix" : "" }, { "dropping-particle" : "", "family" : "Patil", "given" : "Pooja", "non-dropping-particle" : "", "parse-names" : false, "suffix" : "" }, { "dropping-particle" : "", "family" : "Kang", "given" : "Dae-Joong", "non-dropping-particle" : "", "parse-names" : false, "suffix" : "" }, { "dropping-particle" : "", "family" : "Farnsworth", "given" : "Julie", "non-dropping-particle" : "", "parse-names" : false, "suffix" : "" }, { "dropping-particle" : "", "family" : "Butcher", "given" : "Eugene C", "non-dropping-particle" : "", "parse-names" : false, "suffix" : "" }, { "dropping-particle" : "", "family" : "McCright", "given" : "Brent", "non-dropping-particle" : "", "parse-names" : false, "suffix" : "" }, { "dropping-particle" : "", "family" : "Conrad", "given" : "Daniel H", "non-dropping-particle" : "", "parse-names" : false, "suffix" : "" } ], "container-title" : "Journal of immunology (Baltimore, Md. : 1950)", "id" : "ITEM-1", "issue" : "10", "issued" : { "date-parts" : [ [ "2011", "11", "15" ] ] }, "page" : "5114-22", "publisher" : "American Association of Immunologists", "title" : "A disintegrin and metalloproteinase 10 regulates antibody production and maintenance of lymphoid architecture.", "type" : "article-journal", "volume" : "187" }, "uris" : [ "http://www.mendeley.com/documents/?uuid=0dede9a9-6561-3c46-be6d-b3d9f83d4969" ] } ], "mendeley" : { "formattedCitation" : "(Chaimowitz et al., 2011)", "plainTextFormattedCitation" : "(Chaimowitz et al., 2011)", "previouslyFormattedCitation" : "(Chaimowitz et al., 2011)"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(Chaimowitz et al., 2011)</w:t>
      </w:r>
      <w:r w:rsidRPr="00B20C9E">
        <w:rPr>
          <w:rFonts w:ascii="Times New Roman" w:hAnsi="Times New Roman" w:cs="Times New Roman"/>
        </w:rPr>
        <w:fldChar w:fldCharType="end"/>
      </w:r>
      <w:r w:rsidRPr="00B20C9E">
        <w:rPr>
          <w:rFonts w:ascii="Times New Roman" w:hAnsi="Times New Roman" w:cs="Times New Roman"/>
        </w:rPr>
        <w:t xml:space="preserve">.  ADAM10 is a member of a family of metalloproteinases that are responsible for the proteolytic processing of transmembrane receptors and ligands (David, Gibbs (2010)). ADAM10 was originally discovered for its role in </w:t>
      </w:r>
      <w:r>
        <w:rPr>
          <w:rFonts w:ascii="Times New Roman" w:hAnsi="Times New Roman" w:cs="Times New Roman"/>
        </w:rPr>
        <w:t xml:space="preserve">the </w:t>
      </w:r>
      <w:r w:rsidRPr="00B20C9E">
        <w:rPr>
          <w:rFonts w:ascii="Times New Roman" w:hAnsi="Times New Roman" w:cs="Times New Roman"/>
        </w:rPr>
        <w:t>onset of Alzheimer’s disease and only recently has been implicated in asthma and allergy</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"10.1093/hmg/ddp323", "ISSN" : "1460-2083", "PMID" : "19608551", "abstract" : "ADAM10, a member of a disintegrin and metalloprotease family, is an alpha-secretase capable of anti-amyloidogenic proteolysis of the amyloid precursor protein. Here, we present evidence for genetic association of ADAM10 with Alzheimer's disease (AD) as well as two rare potentially disease-associated non-synonymous mutations, Q170H and R181G, in the ADAM10 prodomain. These mutations were found in 11 of 16 affected individuals (average onset age 69.5 years) from seven late-onset AD families. Each mutation was also found in one unaffected subject implying incomplete penetrance. Functionally, both mutations significantly attenuated alpha-secretase activity of ADAM10 (&gt;70% decrease), and elevated Abeta levels (1.5-3.5-fold) in cell-based studies. In summary, we provide the first evidence of ADAM10 as a candidate AD susceptibility gene, and report two potentially pathogenic mutations with incomplete penetrance for late-onset familial AD.", "author" : [ { "dropping-particle" : "", "family" : "Kim", "given" : "Minji", "non-dropping-particle" : "", "parse-names" : false, "suffix" : "" }, { "dropping-particle" : "", "family" : "Suh", "given" : "Jaehong", "non-dropping-particle" : "", "parse-names" : false, "suffix" : "" }, { "dropping-particle" : "", "family" : "Romano", "given" : "Donna", "non-dropping-particle" : "", "parse-names" : false, "suffix" : "" }, { "dropping-particle" : "", "family" : "Truong", "given" : "Mimy H", "non-dropping-particle" : "", "parse-names" : false, "suffix" : "" }, { "dropping-particle" : "", "family" : "Mullin", "given" : "Kristina", "non-dropping-particle" : "", "parse-names" : false, "suffix" : "" }, { "dropping-particle" : "", "family" : "Hooli", "given" : "Basavaraj", "non-dropping-particle" : "", "parse-names" : false, "suffix" : "" }, { "dropping-particle" : "", "family" : "Norton", "given" : "David", "non-dropping-particle" : "", "parse-names" : false, "suffix" : "" }, { "dropping-particle" : "", "family" : "Tesco", "given" : "Giuseppina", "non-dropping-particle" : "", "parse-names" : false, "suffix" : "" }, { "dropping-particle" : "", "family" : "Elliott", "given" : "Kathy", "non-dropping-particle" : "", "parse-names" : false, "suffix" : "" }, { "dropping-particle" : "", "family" : "Wagner", "given" : "Steven L", "non-dropping-particle" : "", "parse-names" : false, "suffix" : "" }, { "dropping-particle" : "", "family" : "Moir", "given" : "Robert D", "non-dropping-particle" : "", "parse-names" : false, "suffix" : "" }, { "dropping-particle" : "", "family" : "Becker", "given" : "K David", "non-dropping-particle" : "", "parse-names" : false, "suffix" : "" }, { "dropping-particle" : "", "family" : "Tanzi", "given" : "Rudolph E", "non-dropping-particle" : "", "parse-names" : false, "suffix" : "" } ], "container-title" : "Human molecular genetics", "id" : "ITEM-1", "issue" : "20", "issued" : { "date-parts" : [ [ "2009", "10", "15" ] ] }, "page" : "3987-96", "publisher" : "Oxford University Press", "title" : "Potential late-onset Alzheimer's disease-associated mutations in the ADAM10 gene attenuate {alpha}-secretase activity.", "type" : "article-journal", "volume" : "18" }, "uris" : [ "http://www.mendeley.com/documents/?uuid=dbfc5fc4-a304-38a5-9f15-9879a3eab9d8" ] } ], "mendeley" : { "formattedCitation" : "(Kim et al., 2009)", "plainTextFormattedCitation" : "(Kim et al., 2009)", "previouslyFormattedCitation" : "(Kim et al., 2009)"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(Kim et al., 2009)</w:t>
      </w:r>
      <w:r w:rsidRPr="00B20C9E">
        <w:rPr>
          <w:rFonts w:ascii="Times New Roman" w:hAnsi="Times New Roman" w:cs="Times New Roman"/>
        </w:rPr>
        <w:fldChar w:fldCharType="end"/>
      </w:r>
      <w:r w:rsidRPr="00B20C9E">
        <w:rPr>
          <w:rFonts w:ascii="Times New Roman" w:hAnsi="Times New Roman" w:cs="Times New Roman"/>
        </w:rPr>
        <w:t>. ADAM10 is most famous for cleavage of the substrate Notch. Notch is important in development</w:t>
      </w:r>
      <w:r>
        <w:rPr>
          <w:rFonts w:ascii="Times New Roman" w:hAnsi="Times New Roman" w:cs="Times New Roman"/>
        </w:rPr>
        <w:t>,</w:t>
      </w:r>
      <w:r w:rsidRPr="00B20C9E">
        <w:rPr>
          <w:rFonts w:ascii="Times New Roman" w:hAnsi="Times New Roman" w:cs="Times New Roman"/>
        </w:rPr>
        <w:t xml:space="preserve"> and because of this, deleting ADAM10 in a mouse, completely, is lethal in the embryonic stage. Cell specific deletion of ADAM10 has been developed to study its function in various systems. In the immune system, macrophages, dendritic cells, and B cells have all shown distinct phenotypes when it comes to ADAM10 deletion. Most importantly, ADAM10</w:t>
      </w:r>
      <w:r>
        <w:rPr>
          <w:rFonts w:ascii="Times New Roman" w:hAnsi="Times New Roman" w:cs="Times New Roman"/>
        </w:rPr>
        <w:t>’s</w:t>
      </w:r>
      <w:r w:rsidRPr="00B20C9E">
        <w:rPr>
          <w:rFonts w:ascii="Times New Roman" w:hAnsi="Times New Roman" w:cs="Times New Roman"/>
        </w:rPr>
        <w:t xml:space="preserve"> deletion from the B cell has shown reduced airway symptoms when these mice are subjected to the model of mouse asthma. This phenotype has been shown to be mediated through a multitude of substrates of ADAM10, but most importantly</w:t>
      </w:r>
      <w:r>
        <w:rPr>
          <w:rFonts w:ascii="Times New Roman" w:hAnsi="Times New Roman" w:cs="Times New Roman"/>
        </w:rPr>
        <w:t xml:space="preserve"> the</w:t>
      </w:r>
      <w:r w:rsidRPr="00B20C9E">
        <w:rPr>
          <w:rFonts w:ascii="Times New Roman" w:hAnsi="Times New Roman" w:cs="Times New Roman"/>
        </w:rPr>
        <w:t xml:space="preserve"> Inducible Costimulator (ICOS) ligand</w:t>
      </w:r>
      <w:r>
        <w:rPr>
          <w:rFonts w:ascii="Times New Roman" w:hAnsi="Times New Roman" w:cs="Times New Roman"/>
        </w:rPr>
        <w:t xml:space="preserve"> (ICOSL)</w:t>
      </w:r>
      <w:r w:rsidRPr="00B20C9E">
        <w:rPr>
          <w:rFonts w:ascii="Times New Roman" w:hAnsi="Times New Roman" w:cs="Times New Roman"/>
        </w:rPr>
        <w:t>. This ligand regulates T cell responses and antibody production that is essential for the devastating symptoms that result in asthmatic exacerbation.</w:t>
      </w:r>
      <w:r>
        <w:rPr>
          <w:rFonts w:ascii="Times New Roman" w:hAnsi="Times New Roman" w:cs="Times New Roman"/>
        </w:rPr>
        <w:t xml:space="preserve"> Sheddase’s essentially cleave/shed extracellular portions of transmembrane proteins to either up regulate or down regulate the activity of the substrate it is cleaving</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"https://www.rndsystems.com/resources/articles/need-help-cell-surface-ask-your-local-sheddase", "accessed" : { "date-parts" : [ [ "2017", "12", "8" ] ] }, "id" : "ITEM-1", "issued" : { "date-parts" : [ [ "0" ] ] }, "title" : "Need help at the cell surface? Ask your local sheddase.: R&amp;amp;D Systems", "type" : "webpage" }, "uris" : [ "http://www.mendeley.com/documents/?uuid=d37b64bb-ed12-3d4e-ba49-a207aa37f0cb" ] } ], "mendeley" : { "formattedCitation" : "(\u201cNeed help at the cell surface? Ask your local sheddase.: R&amp;amp;D Systems,\u201d n.d.)", "manualFormatting" : "(\u201cNeed help at the cell surface?\" )", "plainTextFormattedCitation" : "(\u201cNeed help at the cell surface? Ask your local sheddase.: R&amp;amp;D Systems,\u201d n.d.)", "previouslyFormattedCitation" : "(\u201cNeed help at the cell surface? Ask your local sheddase.: R&amp;amp;D Systems,\u201d n.d.)" }, "properties" : {  }, "schema" : "https://github.com/citation-style-language/schema/raw/master/csl-citation.json" }</w:instrText>
      </w:r>
      <w:r>
        <w:rPr>
          <w:rFonts w:ascii="Times New Roman" w:hAnsi="Times New Roman" w:cs="Times New Roman"/>
        </w:rPr>
        <w:fldChar w:fldCharType="separate"/>
      </w:r>
      <w:r w:rsidRPr="00E96925">
        <w:rPr>
          <w:rFonts w:ascii="Times New Roman" w:hAnsi="Times New Roman" w:cs="Times New Roman"/>
          <w:noProof/>
        </w:rPr>
        <w:t xml:space="preserve">(“Need help </w:t>
      </w:r>
      <w:r>
        <w:rPr>
          <w:rFonts w:ascii="Times New Roman" w:hAnsi="Times New Roman" w:cs="Times New Roman"/>
          <w:noProof/>
        </w:rPr>
        <w:t xml:space="preserve">at the cell surface?" </w:t>
      </w:r>
      <w:r w:rsidRPr="00E96925">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In the case of ADAM10, </w:t>
      </w:r>
      <w:r w:rsidRPr="00B20C9E">
        <w:rPr>
          <w:rFonts w:ascii="Times New Roman" w:hAnsi="Times New Roman" w:cs="Times New Roman"/>
        </w:rPr>
        <w:t xml:space="preserve">ADAM10 </w:t>
      </w:r>
      <w:r w:rsidRPr="00B20C9E">
        <w:rPr>
          <w:rFonts w:ascii="Times New Roman" w:hAnsi="Times New Roman" w:cs="Times New Roman"/>
        </w:rPr>
        <w:lastRenderedPageBreak/>
        <w:t xml:space="preserve">is the primary sheddase of ICOSL and when inhibited, has been associated with high levels of ICOSL which leads to the downregulation of surface T cell ICOS expression through internalization of ICOS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"Lownik", "given" : "Joseph Cornelius", "non-dropping-particle" : "", "parse-names" : false, "suffix" : "" }, { "dropping-particle" : "", "family" : "Luker", "given" : "Andrea", "non-dropping-particle" : "", "parse-names" : false, "suffix" : "" }, { "dropping-particle" : "", "family" : "Martin", "given" : "Rebecca", "non-dropping-particle" : "", "parse-names" : false, "suffix" : "" }, { "dropping-particle" : "", "family" : "Damle", "given" : "Sheela", "non-dropping-particle" : "", "parse-names" : false, "suffix" : "" }, { "dropping-particle" : "", "family" : "Conrad", "given" : "Daniel H", "non-dropping-particle" : "", "parse-names" : false, "suffix" : "" } ], "container-title" : "The Journal of Immunology", "id" : "ITEM-1", "issue" : "1 Supplement", "issued" : { "date-parts" : [ [ "2017" ] ] }, "title" : "ADAM10 regulates the ICOS:ICOSL axis", "type" : "article-journal", "volume" : "198" }, "uris" : [ "http://www.mendeley.com/documents/?uuid=521338ab-c519-3d0f-92f0-6b3f7b6f77ff" ] } ], "mendeley" : { "formattedCitation" : "(Joseph Cornelius Lownik, Luker, Martin, Damle, &amp; Conrad, 2017)", "plainTextFormattedCitation" : "(Joseph Cornelius Lownik, Luker, Martin, Damle, &amp; Conrad, 2017)", "previouslyFormattedCitation" : "(Joseph Cornelius Lownik, Luker, Martin, Damle, &amp; Conrad, 2017)"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(Joseph Cornelius Lownik, Luker, Martin, Damle, &amp; Conrad, 2017)</w:t>
      </w:r>
      <w:r w:rsidRPr="00B20C9E">
        <w:rPr>
          <w:rFonts w:ascii="Times New Roman" w:hAnsi="Times New Roman" w:cs="Times New Roman"/>
        </w:rPr>
        <w:fldChar w:fldCharType="end"/>
      </w:r>
      <w:r w:rsidRPr="00B20C9E">
        <w:rPr>
          <w:rFonts w:ascii="Times New Roman" w:hAnsi="Times New Roman" w:cs="Times New Roman"/>
        </w:rPr>
        <w:t xml:space="preserve">.  Down regulation of T cell ICOS is key to the reduction/severity of an allergic response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"10.1016/j.jaci.2006.11.008", "ISSN" : "00916749", "PMID" : "17291848", "abstract" : "The allergic response in human beings is engineered by CD4(+) T lymphocytes, which secrete T(H)2 cytokines in response to activation by allergen-derived peptides. Although T(H)2 cells have been well characterized, defining the properties of allergen-specific T cells has proved challenging in human beings because of their low frequency within the T-cell repertoire. However, recent studies have provided insight into the molecular signature of long-lived human memory T(H)2 cells, which are allergen-specific. T-cell responses directed against allergens develop in early life and are heavily influenced by the type and dose of allergen, and possibly coexposure to microbial products. These responses are susceptible to suppression by regulatory T cells. This article highlights recent advances in the characterization of allergen-specific memory T(H)2 cells and discusses the heterogeneous nature of regulatory T cells and possible mechanisms of action. The relevance of T-cell epitope mapping studies to understanding the unique nature of T-cell responses to different allergens, as well as to peptide vaccine development, is reviewed. Experimental techniques and approaches for analyzing allergen-specific T cells and identifying novel T-cell epitopes are described that may lead to new T-cell-based therapies.", "author" : [ { "dropping-particle" : "", "family" : "Woodfolk", "given" : "Judith A.", "non-dropping-particle" : "", "parse-names" : false, "suffix" : "" } ], "container-title" : "Journal of Allergy and Clinical Immunology", "id" : "ITEM-1", "issue" : "2", "issued" : { "date-parts" : [ [ "2007", "2" ] ] }, "page" : "280-294", "title" : "T-cell responses to allergens", "type" : "article-journal", "volume" : "119" }, "uris" : [ "http://www.mendeley.com/documents/?uuid=d264589d-31c9-3a6f-8ec8-c177e87bdbbf" ] } ], "mendeley" : { "formattedCitation" : "(Woodfolk, 2007)", "plainTextFormattedCitation" : "(Woodfolk, 2007)", "previouslyFormattedCitation" : "(Woodfolk, 2007)"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(Woodfolk, 2007)</w:t>
      </w:r>
      <w:r w:rsidRPr="00B20C9E">
        <w:rPr>
          <w:rFonts w:ascii="Times New Roman" w:hAnsi="Times New Roman" w:cs="Times New Roman"/>
        </w:rPr>
        <w:fldChar w:fldCharType="end"/>
      </w:r>
      <w:r w:rsidRPr="00B20C9E">
        <w:rPr>
          <w:rFonts w:ascii="Times New Roman" w:hAnsi="Times New Roman" w:cs="Times New Roman"/>
        </w:rPr>
        <w:t xml:space="preserve">. Yet, since ADAM10 </w:t>
      </w:r>
      <w:r>
        <w:rPr>
          <w:rFonts w:ascii="Times New Roman" w:hAnsi="Times New Roman" w:cs="Times New Roman"/>
        </w:rPr>
        <w:t xml:space="preserve">deletion </w:t>
      </w:r>
      <w:r w:rsidRPr="00B20C9E">
        <w:rPr>
          <w:rFonts w:ascii="Times New Roman" w:hAnsi="Times New Roman" w:cs="Times New Roman"/>
        </w:rPr>
        <w:t>is embryonic lethal, a drug to inhibit it completely is a risky prospect.</w:t>
      </w:r>
    </w:p>
    <w:p w14:paraId="7196602D" w14:textId="77777777" w:rsidR="007013F6" w:rsidRPr="00B20C9E" w:rsidRDefault="007013F6" w:rsidP="007013F6">
      <w:pPr>
        <w:spacing w:after="0" w:line="480" w:lineRule="auto"/>
        <w:ind w:firstLine="720"/>
        <w:jc w:val="both"/>
        <w:rPr>
          <w:rFonts w:ascii="Times New Roman" w:hAnsi="Times New Roman" w:cs="Times New Roman"/>
        </w:rPr>
      </w:pPr>
      <w:r>
        <w:rPr>
          <w:rFonts w:ascii="Times New Roman" w:hAnsi="Times New Roman" w:cs="Times New Roman"/>
        </w:rPr>
        <w:t xml:space="preserve">When proteins are first synthesized, many tend to be inactive due to chains of amino acids blocking their activity. Proprotein convertases remove those amino acid chains and activate the proteins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"10.2174/1389202911314050010", "ISSN" : "1389-2029", "PMID" : "24396277", "abstract" : "Members of the substilisin/kexin like proprotein convertase (PCSK) protease family cleave and convert immature pro-proteins into their biologically active forms. By cleaving for example prohormones, cytokines and cell membrane proteins, PCSKs participate in maintaining the homeostasis in a healthy human body. Conversely, erratic enzymatic function is thought to contribute to the pathogenesis of a wide variety of diseases, including obesity and hypercholestrolemia. The first characterized seven PCSK enzymes (PCSK1-2, FURIN, PCSK4-7) process their substrates at a motif made up of paired basic amino acid residues. This feature results in a variable degree of biochemical redundancy in vitro, and consequently, shared substrate molecules between the different PCSK enzymes. This redundancy has confounded our understanding of the specific biological functions of PCSKs. The physiological roles of these enzymes have been best illustrated by the phenotypes of genetically engineered mice and patients that carry mutations in the PCSK genes. Recent developments in genome-wide methodology have generated a large amount of novel information on the genetics of the first seven proprotein convertases. In this review we summarize the reported genetic alterations and their associated phenotypes.", "author" : [ { "dropping-particle" : "", "family" : "Turpeinen", "given" : "Hannu", "non-dropping-particle" : "", "parse-names" : false, "suffix" : "" }, { "dropping-particle" : "", "family" : "Ortutay", "given" : "Zsuzsanna", "non-dropping-particle" : "", "parse-names" : false, "suffix" : "" }, { "dropping-particle" : "", "family" : "Pesu", "given" : "Marko", "non-dropping-particle" : "", "parse-names" : false, "suffix" : "" } ], "container-title" : "Current genomics", "id" : "ITEM-1", "issue" : "7", "issued" : { "date-parts" : [ [ "2013", "11" ] ] }, "page" : "453-67", "publisher" : "Bentham Science Publishers", "title" : "Genetics of the first seven proprotein convertase enzymes in health and disease.", "type" : "article-journal", "volume" : "14" }, "uris" : [ "http://www.mendeley.com/documents/?uuid=e515f3ff-bf9f-33d7-b4f9-9df033b95897" ] } ], "mendeley" : { "formattedCitation" : "(Turpeinen, Ortutay, &amp; Pesu, 2013)", "plainTextFormattedCitation" : "(Turpeinen, Ortutay, &amp; Pesu, 2013)", "previouslyFormattedCitation" : "(Turpeinen, Ortutay, &amp; Pesu, 2013)" }, "properties" : {  }, "schema" : "https://github.com/citation-style-language/schema/raw/master/csl-citation.json" }</w:instrText>
      </w:r>
      <w:r>
        <w:rPr>
          <w:rFonts w:ascii="Times New Roman" w:hAnsi="Times New Roman" w:cs="Times New Roman"/>
        </w:rPr>
        <w:fldChar w:fldCharType="separate"/>
      </w:r>
      <w:r w:rsidRPr="00790752">
        <w:rPr>
          <w:rFonts w:ascii="Times New Roman" w:hAnsi="Times New Roman" w:cs="Times New Roman"/>
          <w:noProof/>
        </w:rPr>
        <w:t>(Turpeinen, Ortutay, &amp; Pesu, 2013)</w:t>
      </w:r>
      <w:r>
        <w:rPr>
          <w:rFonts w:ascii="Times New Roman" w:hAnsi="Times New Roman" w:cs="Times New Roman"/>
        </w:rPr>
        <w:fldChar w:fldCharType="end"/>
      </w:r>
      <w:r>
        <w:rPr>
          <w:rFonts w:ascii="Times New Roman" w:hAnsi="Times New Roman" w:cs="Times New Roman"/>
        </w:rPr>
        <w:t xml:space="preserve">.  </w:t>
      </w:r>
      <w:r w:rsidRPr="00B20C9E">
        <w:rPr>
          <w:rFonts w:ascii="Times New Roman" w:hAnsi="Times New Roman" w:cs="Times New Roman"/>
        </w:rPr>
        <w:t>Furin (also known as PACE “Paired basic Amino acid cleaving”) is a proprotein convertase protein coding gene, which encodes for a</w:t>
      </w:r>
      <w:r>
        <w:rPr>
          <w:rFonts w:ascii="Times New Roman" w:hAnsi="Times New Roman" w:cs="Times New Roman"/>
        </w:rPr>
        <w:t xml:space="preserve"> transmembrane protein</w:t>
      </w:r>
      <w:r w:rsidRPr="00B20C9E">
        <w:rPr>
          <w:rFonts w:ascii="Times New Roman" w:hAnsi="Times New Roman" w:cs="Times New Roman"/>
        </w:rPr>
        <w:t xml:space="preserve"> that is found in multiple forms of tissue, including the liver, gut and the brain</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"10.1007/978-1-61779-204-5_3", "author" : [ { "dropping-particle" : "", "family" : "Seidah", "given" : "Nabil G.", "non-dropping-particle" : "", "parse-names" : false, "suffix" : "" } ], "id" : "ITEM-1", "issued" : { "date-parts" : [ [ "2011" ] ] }, "page" : "23-57", "title" : "The Proprotein Convertases, 20 Years Later", "type" : "chapter" }, "uris" : [ "http://www.mendeley.com/documents/?uuid=5d0be618-27aa-3422-be6f-adaa0bbda1bd" ] } ], "mendeley" : { "formattedCitation" : "(Seidah, 2011)", "plainTextFormattedCitation" : "(Seidah, 2011)", "previouslyFormattedCitation" : "(Seidah, 2011)" }, "properties" : {  }, "schema" : "https://github.com/citation-style-language/schema/raw/master/csl-citation.json" }</w:instrText>
      </w:r>
      <w:r>
        <w:rPr>
          <w:rFonts w:ascii="Times New Roman" w:hAnsi="Times New Roman" w:cs="Times New Roman"/>
        </w:rPr>
        <w:fldChar w:fldCharType="separate"/>
      </w:r>
      <w:r w:rsidRPr="003003FF">
        <w:rPr>
          <w:rFonts w:ascii="Times New Roman" w:hAnsi="Times New Roman" w:cs="Times New Roman"/>
          <w:noProof/>
        </w:rPr>
        <w:t>(Seidah, 2011)</w:t>
      </w:r>
      <w:r>
        <w:rPr>
          <w:rFonts w:ascii="Times New Roman" w:hAnsi="Times New Roman" w:cs="Times New Roman"/>
        </w:rPr>
        <w:fldChar w:fldCharType="end"/>
      </w:r>
      <w:r w:rsidRPr="00B20C9E">
        <w:rPr>
          <w:rFonts w:ascii="Times New Roman" w:hAnsi="Times New Roman" w:cs="Times New Roman"/>
        </w:rPr>
        <w:t>. Furin is one of the convertases that activates ADAM10 through cleavage of the prodomain.</w:t>
      </w:r>
      <w:r>
        <w:rPr>
          <w:rFonts w:ascii="Times New Roman" w:hAnsi="Times New Roman" w:cs="Times New Roman"/>
        </w:rPr>
        <w:t xml:space="preserve"> The prodomain of ADAM10 keeps the metalloprotease(part that cleaves proteins) site of ADAM10 inactive through a cystine switch which acts as an activation mechanism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"0027-8424", "PMID" : "2164689", "abstract" : "The general applicability of the \"cysteine-switch\" activation mechanism to the members of the matrix metalloproteinase (MMP) gene family is examined here. All currently known members of the MMP gene family share the characteristic that they are synthesized in a latent, inactive, form. Recent evidence suggests that this latency in human fibroblast collagenase (HFC) is the result of formation of an intramolecular complex between the single cysteine residue in its propeptide domain and the essential zinc atom in the catalytic domain, a complex that blocks the active site. Latent HFC can be activated by multiple means, all of which effect the dissociation of the cysteine residue from the complex. This is referred to as the \"cysteine-switch\" mechanism of activation. The propeptide domain that contains the critical cysteine residue and the catalytic domain that contains the zinc-binding site are the only two domains common to all of the MMPs. The amino acid sequences surrounding both the critical cysteine residue and a region of the protein chains containing two of the putative histidine zinc-binding ligands are highly conserved in all of the MMPs. A survey of the literature shows that many of the individual MMPs can be activated by the multiple means observed for latent HFC. These observations support the view that the cysteine-switch mechanism is applicable to all members of this gene family. This mechanism is unprecedented in enzymology as far as we know and offers the opportunity for multiple modes of physiological activation of these important enzymes. Since conditions in different cells and tissues may match those necessary to effect one of these activation modes for a given MMP, this may offer metabolic flexibility in the control of MMP activation.", "author" : [ { "dropping-particle" : "", "family" : "Wart", "given" : "H E", "non-dropping-particle" : "Van", "parse-names" : false, "suffix" : "" }, { "dropping-particle" : "", "family" : "Birkedal-Hansen", "given" : "H", "non-dropping-particle" : "", "parse-names" : false, "suffix" : "" } ], "container-title" : "Proceedings of the National Academy of Sciences of the United States of America", "id" : "ITEM-1", "issue" : "14", "issued" : { "date-parts" : [ [ "1990", "7" ] ] }, "page" : "5578-82", "publisher" : "National Academy of Sciences", "title" : "The cysteine switch: a principle of regulation of metalloproteinase activity with potential applicability to the entire matrix metalloproteinase gene family.", "type" : "article-journal", "volume" : "87" }, "uris" : [ "http://www.mendeley.com/documents/?uuid=72d312f2-7304-3f79-9add-864a9198f762" ] } ], "mendeley" : { "formattedCitation" : "(Van Wart &amp; Birkedal-Hansen, 1990)", "plainTextFormattedCitation" : "(Van Wart &amp; Birkedal-Hansen, 1990)", "previouslyFormattedCitation" : "(Van Wart &amp; Birkedal-Hansen, 1990)" }, "properties" : {  }, "schema" : "https://github.com/citation-style-language/schema/raw/master/csl-citation.json" }</w:instrText>
      </w:r>
      <w:r>
        <w:rPr>
          <w:rFonts w:ascii="Times New Roman" w:hAnsi="Times New Roman" w:cs="Times New Roman"/>
        </w:rPr>
        <w:fldChar w:fldCharType="separate"/>
      </w:r>
      <w:r w:rsidRPr="00163F67">
        <w:rPr>
          <w:rFonts w:ascii="Times New Roman" w:hAnsi="Times New Roman" w:cs="Times New Roman"/>
          <w:noProof/>
        </w:rPr>
        <w:t>(Van Wart &amp; Birkedal-Hansen, 1990)</w:t>
      </w:r>
      <w:r>
        <w:rPr>
          <w:rFonts w:ascii="Times New Roman" w:hAnsi="Times New Roman" w:cs="Times New Roman"/>
        </w:rPr>
        <w:fldChar w:fldCharType="end"/>
      </w:r>
      <w:r>
        <w:rPr>
          <w:rFonts w:ascii="Times New Roman" w:hAnsi="Times New Roman" w:cs="Times New Roman"/>
        </w:rPr>
        <w:t xml:space="preserve">. Proprotein convertases cleave the prodomain from the rest of the ADAM10 protein making it available for catalytic activity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"10.1101/gad.1039703", "ISSN" : "0890-9369", "PMID" : "12514095", "author" : [ { "dropping-particle" : "", "family" : "Seals", "given" : "Darren F", "non-dropping-particle" : "", "parse-names" : false, "suffix" : "" }, { "dropping-particle" : "", "family" : "Courtneidge", "given" : "Sara A", "non-dropping-particle" : "", "parse-names" : false, "suffix" : "" } ], "container-title" : "Genes &amp; development", "id" : "ITEM-1", "issue" : "1", "issued" : { "date-parts" : [ [ "2003", "1", "1" ] ] }, "page" : "7-30", "publisher" : "Cold Spring Harbor Laboratory Press", "title" : "The ADAMs family of metalloproteases: multidomain proteins with multiple functions.", "type" : "article-journal", "volume" : "17" }, "uris" : [ "http://www.mendeley.com/documents/?uuid=5217056d-bd04-30cb-9a4a-610f9513632a" ] } ], "mendeley" : { "formattedCitation" : "(Seals &amp; Courtneidge, 2003)", "plainTextFormattedCitation" : "(Seals &amp; Courtneidge, 2003)", "previouslyFormattedCitation" : "(Seals &amp; Courtneidge, 2003)" }, "properties" : {  }, "schema" : "https://github.com/citation-style-language/schema/raw/master/csl-citation.json" }</w:instrText>
      </w:r>
      <w:r>
        <w:rPr>
          <w:rFonts w:ascii="Times New Roman" w:hAnsi="Times New Roman" w:cs="Times New Roman"/>
        </w:rPr>
        <w:fldChar w:fldCharType="separate"/>
      </w:r>
      <w:r w:rsidRPr="00136827">
        <w:rPr>
          <w:rFonts w:ascii="Times New Roman" w:hAnsi="Times New Roman" w:cs="Times New Roman"/>
          <w:noProof/>
        </w:rPr>
        <w:t>(Seals &amp; Courtneidge, 2003)</w:t>
      </w:r>
      <w:r>
        <w:rPr>
          <w:rFonts w:ascii="Times New Roman" w:hAnsi="Times New Roman" w:cs="Times New Roman"/>
        </w:rPr>
        <w:fldChar w:fldCharType="end"/>
      </w:r>
      <w:r>
        <w:rPr>
          <w:rFonts w:ascii="Times New Roman" w:hAnsi="Times New Roman" w:cs="Times New Roman"/>
        </w:rPr>
        <w:t>.</w:t>
      </w:r>
      <w:r w:rsidRPr="00B20C9E">
        <w:rPr>
          <w:rFonts w:ascii="Times New Roman" w:hAnsi="Times New Roman" w:cs="Times New Roman"/>
        </w:rPr>
        <w:t xml:space="preserve"> Without cleavage of the prodomain, ADAM10 is inactivated and cannot function (David, Gibbs (2010)). PC-7 (proprotein convertase) is also able to cleave the prodomain of ADAM10</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"0892-6638", "PMID" : "11481247", "author" : [ { "dropping-particle" : "", "family" : "Anders", "given" : "A", "non-dropping-particle" : "", "parse-names" : false, "suffix" : "" }, { "dropping-particle" : "", "family" : "Gilbert", "given" : "S", "non-dropping-particle" : "", "parse-names" : false, "suffix" : "" }, { "dropping-particle" : "", "family" : "Garten", "given" : "W", "non-dropping-particle" : "", "parse-names" : false, "suffix" : "" }, { "dropping-particle" : "", "family" : "Postina", "given" : "R", "non-dropping-particle" : "", "parse-names" : false, "suffix" : "" }, { "dropping-particle" : "", "family" : "Fahrenholz", "given" : "F", "non-dropping-particle" : "", "parse-names" : false, "suffix" : "" } ], "container-title" : "FASEB journal : official publication of the Federation of American Societies for Experimental Biology", "id" : "ITEM-1", "issue" : "10", "issued" : { "date-parts" : [ [ "2001", "8" ] ] }, "page" : "1837-9", "title" : "Regulation of the alpha-secretase ADAM10 by its prodomain and proprotein convertases.", "type" : "article-journal", "volume" : "15" }, "uris" : [ "http://www.mendeley.com/documents/?uuid=216c6800-5175-3f41-906b-7ececdb28a1d" ] } ], "mendeley" : { "formattedCitation" : "(Anders, Gilbert, Garten, Postina, &amp; Fahrenholz, 2001)", "plainTextFormattedCitation" : "(Anders, Gilbert, Garten, Postina, &amp; Fahrenholz, 2001)", "previouslyFormattedCitation" : "(Anders, Gilbert, Garten, Postina, &amp; Fahrenholz, 2001)"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(Anders, Gilbert, Garten, Postina, &amp; Fahrenholz, 2001)</w:t>
      </w:r>
      <w:r w:rsidRPr="00B20C9E">
        <w:rPr>
          <w:rFonts w:ascii="Times New Roman" w:hAnsi="Times New Roman" w:cs="Times New Roman"/>
        </w:rPr>
        <w:fldChar w:fldCharType="end"/>
      </w:r>
      <w:r w:rsidRPr="00B20C9E">
        <w:rPr>
          <w:rFonts w:ascii="Times New Roman" w:hAnsi="Times New Roman" w:cs="Times New Roman"/>
        </w:rPr>
        <w:t>. Since a deletion of Furin will result in a possible partial loss of ADAM10, it may possibly be a more beneficial drug target for asthma therapy. I propose that Furin deletion from B cells will result in the abrogation of airway hyperresponsiveness (AHR) in a mouse model of asthma through ADAM10 and ICOSL.</w:t>
      </w:r>
    </w:p>
    <w:p w14:paraId="30F497E2" w14:textId="77777777" w:rsidR="007013F6" w:rsidRPr="00B20C9E" w:rsidRDefault="007013F6" w:rsidP="007013F6">
      <w:pPr>
        <w:spacing w:after="0" w:line="480" w:lineRule="auto"/>
        <w:ind w:firstLine="720"/>
        <w:jc w:val="both"/>
        <w:rPr>
          <w:rFonts w:ascii="Times New Roman" w:hAnsi="Times New Roman" w:cs="Times New Roman"/>
          <w:b/>
        </w:rPr>
      </w:pPr>
    </w:p>
    <w:p w14:paraId="3273848E" w14:textId="77777777" w:rsidR="007013F6" w:rsidRDefault="007013F6" w:rsidP="007013F6">
      <w:pPr>
        <w:spacing w:after="0" w:line="480" w:lineRule="auto"/>
        <w:jc w:val="both"/>
        <w:rPr>
          <w:rFonts w:ascii="Times New Roman" w:hAnsi="Times New Roman" w:cs="Times New Roman"/>
          <w:b/>
          <w:u w:val="single"/>
        </w:rPr>
      </w:pPr>
    </w:p>
    <w:p w14:paraId="14B1120E" w14:textId="77777777" w:rsidR="007013F6" w:rsidRDefault="007013F6" w:rsidP="007013F6">
      <w:pPr>
        <w:spacing w:after="0" w:line="480" w:lineRule="auto"/>
        <w:jc w:val="both"/>
        <w:rPr>
          <w:rFonts w:ascii="Times New Roman" w:hAnsi="Times New Roman" w:cs="Times New Roman"/>
          <w:b/>
          <w:u w:val="single"/>
        </w:rPr>
      </w:pPr>
    </w:p>
    <w:p w14:paraId="680E6E16" w14:textId="77777777" w:rsidR="007013F6" w:rsidRDefault="007013F6" w:rsidP="007013F6">
      <w:pPr>
        <w:spacing w:after="0" w:line="480" w:lineRule="auto"/>
        <w:jc w:val="both"/>
        <w:rPr>
          <w:rFonts w:ascii="Times New Roman" w:hAnsi="Times New Roman" w:cs="Times New Roman"/>
          <w:b/>
          <w:u w:val="single"/>
        </w:rPr>
      </w:pPr>
    </w:p>
    <w:p w14:paraId="0CA23B61" w14:textId="77777777" w:rsidR="007013F6" w:rsidRDefault="007013F6" w:rsidP="007013F6">
      <w:pPr>
        <w:spacing w:after="0" w:line="480" w:lineRule="auto"/>
        <w:jc w:val="both"/>
        <w:rPr>
          <w:rFonts w:ascii="Times New Roman" w:hAnsi="Times New Roman" w:cs="Times New Roman"/>
          <w:b/>
          <w:u w:val="single"/>
        </w:rPr>
      </w:pPr>
    </w:p>
    <w:p w14:paraId="46CCB59B" w14:textId="77777777" w:rsidR="007013F6" w:rsidRDefault="007013F6" w:rsidP="007013F6">
      <w:pPr>
        <w:spacing w:after="0" w:line="480" w:lineRule="auto"/>
        <w:jc w:val="both"/>
        <w:rPr>
          <w:rFonts w:ascii="Times New Roman" w:hAnsi="Times New Roman" w:cs="Times New Roman"/>
          <w:b/>
          <w:u w:val="single"/>
        </w:rPr>
      </w:pPr>
    </w:p>
    <w:p w14:paraId="365FCC15" w14:textId="77777777" w:rsidR="007013F6" w:rsidRPr="00B20C9E" w:rsidRDefault="007013F6" w:rsidP="007013F6">
      <w:pPr>
        <w:spacing w:after="0" w:line="480" w:lineRule="auto"/>
        <w:jc w:val="both"/>
        <w:rPr>
          <w:rFonts w:ascii="Times New Roman" w:hAnsi="Times New Roman" w:cs="Times New Roman"/>
          <w:b/>
          <w:u w:val="single"/>
        </w:rPr>
      </w:pPr>
      <w:r w:rsidRPr="00B20C9E">
        <w:rPr>
          <w:rFonts w:ascii="Times New Roman" w:hAnsi="Times New Roman" w:cs="Times New Roman"/>
          <w:b/>
          <w:u w:val="single"/>
        </w:rPr>
        <w:lastRenderedPageBreak/>
        <w:t>The Experiment</w:t>
      </w:r>
    </w:p>
    <w:p w14:paraId="14251421" w14:textId="77777777" w:rsidR="007013F6" w:rsidRPr="007D6FE8" w:rsidRDefault="007013F6" w:rsidP="007013F6">
      <w:pPr>
        <w:spacing w:after="0" w:line="480" w:lineRule="auto"/>
        <w:jc w:val="both"/>
        <w:rPr>
          <w:rFonts w:ascii="Times New Roman" w:hAnsi="Times New Roman" w:cs="Times New Roman"/>
          <w:u w:val="single"/>
        </w:rPr>
      </w:pPr>
      <w:r>
        <w:rPr>
          <w:rFonts w:ascii="Times New Roman" w:hAnsi="Times New Roman" w:cs="Times New Roman"/>
          <w:noProof/>
          <w:u w:val="single"/>
        </w:rPr>
        <w:drawing>
          <wp:inline distT="0" distB="0" distL="0" distR="0" wp14:anchorId="15E368B3" wp14:editId="503464FB">
            <wp:extent cx="252222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1638300"/>
                    </a:xfrm>
                    <a:prstGeom prst="rect">
                      <a:avLst/>
                    </a:prstGeom>
                    <a:noFill/>
                    <a:ln>
                      <a:noFill/>
                    </a:ln>
                  </pic:spPr>
                </pic:pic>
              </a:graphicData>
            </a:graphic>
          </wp:inline>
        </w:drawing>
      </w:r>
      <w:r>
        <w:rPr>
          <w:rFonts w:ascii="Times New Roman" w:hAnsi="Times New Roman" w:cs="Times New Roman"/>
          <w:noProof/>
        </w:rPr>
        <w:drawing>
          <wp:inline distT="0" distB="0" distL="0" distR="0" wp14:anchorId="0512D5BE" wp14:editId="3E9E845C">
            <wp:extent cx="2351992"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436" cy="1269811"/>
                    </a:xfrm>
                    <a:prstGeom prst="rect">
                      <a:avLst/>
                    </a:prstGeom>
                    <a:noFill/>
                  </pic:spPr>
                </pic:pic>
              </a:graphicData>
            </a:graphic>
          </wp:inline>
        </w:drawing>
      </w:r>
    </w:p>
    <w:p w14:paraId="6D81E8F0" w14:textId="77777777" w:rsidR="007013F6" w:rsidRDefault="007013F6" w:rsidP="007013F6">
      <w:pPr>
        <w:spacing w:after="0" w:line="480" w:lineRule="auto"/>
        <w:ind w:firstLine="720"/>
        <w:jc w:val="both"/>
        <w:rPr>
          <w:rFonts w:ascii="Times New Roman" w:hAnsi="Times New Roman" w:cs="Times New Roman"/>
        </w:rPr>
      </w:pPr>
      <w:r>
        <w:rPr>
          <w:rFonts w:ascii="Times New Roman" w:hAnsi="Times New Roman" w:cs="Times New Roman"/>
        </w:rPr>
        <w:t>First, I will procure mice that have exon 2 of the furin gene flanked with lox-p (locus of crossing([x-ing]-over) of bacteriophage P1) sites (fur</w:t>
      </w:r>
      <w:r w:rsidRPr="0087154D">
        <w:rPr>
          <w:rFonts w:ascii="Times New Roman" w:hAnsi="Times New Roman" w:cs="Times New Roman"/>
          <w:vertAlign w:val="superscript"/>
        </w:rPr>
        <w:t>fl/fl</w:t>
      </w:r>
      <w:r>
        <w:rPr>
          <w:rFonts w:ascii="Times New Roman" w:hAnsi="Times New Roman" w:cs="Times New Roman"/>
        </w:rPr>
        <w:t xml:space="preserve">) (Roebroek et al, 2004). These lox-p sites will facilitate a looping out and deletion of exon 2 of the DNA </w:t>
      </w:r>
      <w:r w:rsidRPr="00B20C9E">
        <w:rPr>
          <w:rFonts w:ascii="Times New Roman" w:hAnsi="Times New Roman" w:cs="Times New Roman"/>
        </w:rPr>
        <w:t>in cells that express the protein cre-recombinase</w:t>
      </w:r>
      <w:r>
        <w:rPr>
          <w:rFonts w:ascii="Times New Roman" w:hAnsi="Times New Roman" w:cs="Times New Roman"/>
        </w:rPr>
        <w:t xml:space="preserve">(CD19-cre). The whole process begins with the cre gene, (cyclization recombination) which can recombine DNA when it locates specific loxP sequences. Each loxP site is 34 base pairs long and attract the cre-recombinase to recombine surrounding DNA. When cells that have loxP sites in their genome and express the cre gene, the DNA sequence between the 2 loxP sites is excised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"https://www.scq.ubc.ca/targeting-your-dna-with-the-crelox-system/", "accessed" : { "date-parts" : [ [ "2017", "12", "9" ] ] }, "author" : [ { "dropping-particle" : "", "family" : "Alfred Pechisker", "given" : "", "non-dropping-particle" : "", "parse-names" : false, "suffix" : "" } ], "id" : "ITEM-1", "issued" : { "date-parts" : [ [ "0" ] ] }, "title" : "TARGETING YOUR DNA WITH THE CRE/LOX SYSTEM | SCQ", "type" : "webpage" }, "uris" : [ "http://www.mendeley.com/documents/?uuid=97e3b2c8-ea99-372c-8968-8a9b6d7c3007" ] } ], "mendeley" : { "formattedCitation" : "(Alfred Pechisker, n.d.)", "manualFormatting" : "(Alfred Pechisker, 2004)", "plainTextFormattedCitation" : "(Alfred Pechisker, n.d.)", "previouslyFormattedCitation" : "(Alfred Pechisker, n.d.)" }, "properties" : {  }, "schema" : "https://github.com/citation-style-language/schema/raw/master/csl-citation.json"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(Alfred Pechisker, 2004</w:t>
      </w:r>
      <w:r w:rsidRPr="00D7752E">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The loxP sequence does not occur naturally in any known genome other than P1 phage, so the insertion of loxP sites in a DNA sequence allow for very specified manipulations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"http://blog.addgene.org/plasmids-101-cre-lox", "author" : [ { "dropping-particle" : "", "family" : "A Max Juchheim", "given" : "", "non-dropping-particle" : "", "parse-names" : false, "suffix" : "" } ], "id" : "ITEM-1", "issued" : { "date-parts" : [ [ "2015" ] ] }, "title" : "Plasmids 101: Cre-lox", "type" : "webpage" }, "uris" : [ "http://www.mendeley.com/documents/?uuid=a2b216c8-5a74-4d51-a24b-7fd52085a2c5" ] } ], "mendeley" : { "formattedCitation" : "(A Max Juchheim, 2015)", "plainTextFormattedCitation" : "(A Max Juchheim, 2015)", "previouslyFormattedCitation" : "(A Max Juchheim, 2015)" }, "properties" : {  }, "schema" : "https://github.com/citation-style-language/schema/raw/master/csl-citation.json" }</w:instrText>
      </w:r>
      <w:r>
        <w:rPr>
          <w:rFonts w:ascii="Times New Roman" w:hAnsi="Times New Roman" w:cs="Times New Roman"/>
        </w:rPr>
        <w:fldChar w:fldCharType="separate"/>
      </w:r>
      <w:r w:rsidRPr="005336AD">
        <w:rPr>
          <w:rFonts w:ascii="Times New Roman" w:hAnsi="Times New Roman" w:cs="Times New Roman"/>
          <w:noProof/>
        </w:rPr>
        <w:t>(A Max Juchheim, 2015)</w:t>
      </w:r>
      <w:r>
        <w:rPr>
          <w:rFonts w:ascii="Times New Roman" w:hAnsi="Times New Roman" w:cs="Times New Roman"/>
        </w:rPr>
        <w:fldChar w:fldCharType="end"/>
      </w:r>
      <w:r>
        <w:rPr>
          <w:rFonts w:ascii="Times New Roman" w:hAnsi="Times New Roman" w:cs="Times New Roman"/>
        </w:rPr>
        <w:t xml:space="preserve">. Two loxP sites will be inserted on exon 2 of the furin gene through the CRISPR/Cas9 system utilizing sgRNAs to target exon 2 of the furin gene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"10.1534/g3.116.030601", "ISSN" : "2160-1836", "PMID" : "27175020", "abstract" : "Targeted gene mutation in the mouse is a primary strategy to understand gene function and relation to phenotype. The Knockout Mouse Project (KOMP) had an initial goal to develop a public resource of mouse embryonic stem (ES) cell clones that carry null mutations in all genes. Indeed, many useful novel mouse models have been generated from publically accessible targeted mouse ES cell lines. However, there are limitations, including incorrect targeting or cassette structure, and difficulties with germline transmission of the allele from chimeric mice. In our experience, using a small sample of targeted ES cell clones, we were successful \u223c50% of the time in generating germline transmission of a correctly targeted allele. With the advent of CRISPR/Cas9 as a mouse genome modification tool, we assessed the efficiency of creating a conditional targeted allele in one gene, dedicator of cytokinesis\u00a07 (Dock7), for which we were unsuccessful in generating a null allele using a KOMP targeted ES cell clone. The strategy was to insert loxP sites to flank either exons\u00a03 and 4, or exons\u00a03 through 7. By coinjecting Cas9 mRNA, validated sgRNAs, and oligonucleotide donors into fertilized eggs from C57BL/6J mice, we obtained a variety of alleles, including mice homozygous for the null alleles mediated by nonhomologous end joining, alleles with one of the two desired loxP sites, and correctly targeted alleles with both loxP sites. We also found frequent mutations in the inserted loxP sequence, which is partly attributable to the heterogeneity in the original oligonucleotide preparation.", "author" : [ { "dropping-particle" : "", "family" : "Bishop", "given" : "Kathleen A", "non-dropping-particle" : "", "parse-names" : false, "suffix" : "" }, { "dropping-particle" : "", "family" : "Harrington", "given" : "Anne", "non-dropping-particle" : "", "parse-names" : false, "suffix" : "" }, { "dropping-particle" : "", "family" : "Kouranova", "given" : "Evguenia", "non-dropping-particle" : "", "parse-names" : false, "suffix" : "" }, { "dropping-particle" : "", "family" : "Weinstein", "given" : "Edward J", "non-dropping-particle" : "", "parse-names" : false, "suffix" : "" }, { "dropping-particle" : "", "family" : "Rosen", "given" : "Clifford J", "non-dropping-particle" : "", "parse-names" : false, "suffix" : "" }, { "dropping-particle" : "", "family" : "Cui", "given" : "Xiaoxia", "non-dropping-particle" : "", "parse-names" : false, "suffix" : "" }, { "dropping-particle" : "", "family" : "Liaw", "given" : "Lucy", "non-dropping-particle" : "", "parse-names" : false, "suffix" : "" } ], "container-title" : "G3 (Bethesda, Md.)", "id" : "ITEM-1", "issue" : "7", "issued" : { "date-parts" : [ [ "2016", "7", "7" ] ] }, "page" : "2051-61", "publisher" : "Genetics Society of America", "title" : "CRISPR/Cas9-Mediated Insertion of loxP Sites in the Mouse Dock7 Gene Provides an Effective Alternative to Use of Targeted Embryonic Stem Cells.", "type" : "article-journal", "volume" : "6" }, "uris" : [ "http://www.mendeley.com/documents/?uuid=17e5497b-59e8-3fe7-a7a5-e6adbb7f4625" ] } ], "mendeley" : { "formattedCitation" : "(Bishop et al., 2016)", "plainTextFormattedCitation" : "(Bishop et al., 2016)", "previouslyFormattedCitation" : "(Bishop et al., 2016)" }, "properties" : {  }, "schema" : "https://github.com/citation-style-language/schema/raw/master/csl-citation.json" }</w:instrText>
      </w:r>
      <w:r>
        <w:rPr>
          <w:rFonts w:ascii="Times New Roman" w:hAnsi="Times New Roman" w:cs="Times New Roman"/>
        </w:rPr>
        <w:fldChar w:fldCharType="separate"/>
      </w:r>
      <w:r w:rsidRPr="003C6889">
        <w:rPr>
          <w:rFonts w:ascii="Times New Roman" w:hAnsi="Times New Roman" w:cs="Times New Roman"/>
          <w:noProof/>
        </w:rPr>
        <w:t>(Bishop et al., 2016)</w:t>
      </w:r>
      <w:r>
        <w:rPr>
          <w:rFonts w:ascii="Times New Roman" w:hAnsi="Times New Roman" w:cs="Times New Roman"/>
        </w:rPr>
        <w:fldChar w:fldCharType="end"/>
      </w:r>
      <w:r>
        <w:rPr>
          <w:rFonts w:ascii="Times New Roman" w:hAnsi="Times New Roman" w:cs="Times New Roman"/>
        </w:rPr>
        <w:t xml:space="preserve">. </w:t>
      </w:r>
      <w:r w:rsidRPr="00B20C9E">
        <w:rPr>
          <w:rFonts w:ascii="Times New Roman" w:hAnsi="Times New Roman" w:cs="Times New Roman"/>
        </w:rPr>
        <w:t>This will essentially delete furin from those cells</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"10.1074/jbc.M407152200", "ISSN" : "0021-9258", "PMID" : "15471862", "abstract" : "Furin is an endoprotease of the family of mammalian proprotein convertases and is involved in the activation of a large variety of regulatory proteins by cleavage at basic motifs. A large number of substrates have been attributed to furin on the basis of in vitro and ex vivo data. However, no physiological substrates have been confirmed directly in a mammalian model system, and early embryonic lethality of a furin knock-out mouse model has precluded in vivo verification of most candidate substrates. Here, we report the generation and characterization of an interferon inducible Mx-Cre/loxP furin knock-out mouse model. Induction resulted in near-complete ablation of the floxed fur exon in liver. In sharp contrast with the general furin knock-out mouse model, no obvious adverse effects were observed in the transgenic mice after induction. Histological analysis of the liver did not reveal any overt deviations from normal morphology. Analysis of candidate substrates in liver revealed complete redundancy for the processing of the insulin receptor. Variable degrees of redundancy were observed for the processing of albumin, alpha(5) integrin, lipoprotein receptor-related protein, vitronectin and alpha(1)-microglobulin/bikunin. None of the tested substrates displayed a complete block of processing. The absence of a severe phenotype raises the possibility of using furin as a local therapeutic target in the treatment of pathologies like cancer and viral infections, although the observed redundancy may require combination therapy or the development of a more broad spectrum convertase inhibitor.", "author" : [ { "dropping-particle" : "", "family" : "Roebroek", "given" : "Anton J M", "non-dropping-particle" : "", "parse-names" : false, "suffix" : "" }, { "dropping-particle" : "", "family" : "Taylor", "given" : "Neil A", "non-dropping-particle" : "", "parse-names" : false, "suffix" : "" }, { "dropping-particle" : "", "family" : "Louagie", "given" : "Els", "non-dropping-particle" : "", "parse-names" : false, "suffix" : "" }, { "dropping-particle" : "", "family" : "Pauli", "given" : "Ilse", "non-dropping-particle" : "", "parse-names" : false, "suffix" : "" }, { "dropping-particle" : "", "family" : "Smeijers", "given" : "Liesbeth", "non-dropping-particle" : "", "parse-names" : false, "suffix" : "" }, { "dropping-particle" : "", "family" : "Snellinx", "given" : "An", "non-dropping-particle" : "", "parse-names" : false, "suffix" : "" }, { "dropping-particle" : "", "family" : "Lauwers", "given" : "Annick", "non-dropping-particle" : "", "parse-names" : false, "suffix" : "" }, { "dropping-particle" : "", "family" : "Ven", "given" : "Wim J M", "non-dropping-particle" : "Van de", "parse-names" : false, "suffix" : "" }, { "dropping-particle" : "", "family" : "Hartmann", "given" : "Dieter", "non-dropping-particle" : "", "parse-names" : false, "suffix" : "" }, { "dropping-particle" : "", "family" : "Creemers", "given" : "John W M", "non-dropping-particle" : "", "parse-names" : false, "suffix" : "" } ], "container-title" : "The Journal of biological chemistry", "id" : "ITEM-1", "issue" : "51", "issued" : { "date-parts" : [ [ "2004", "12", "17" ] ] }, "page" : "53442-50", "publisher" : "American Society for Biochemistry and Molecular Biology", "title" : "Limited redundancy of the proprotein convertase furin in mouse liver.", "type" : "article-journal", "volume" : "279" }, "uris" : [ "http://www.mendeley.com/documents/?uuid=8a30912e-7b41-3003-b786-7ef6f493b4a2" ] } ], "mendeley" : { "formattedCitation" : "(Roebroek et al., 2004)", "plainTextFormattedCitation" : "(Roebroek et al., 2004)", "previouslyFormattedCitation" : "(Roebroek et al., 2004)"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(Roebroek et al., 2004)</w:t>
      </w:r>
      <w:r w:rsidRPr="00B20C9E">
        <w:rPr>
          <w:rFonts w:ascii="Times New Roman" w:hAnsi="Times New Roman" w:cs="Times New Roman"/>
        </w:rPr>
        <w:fldChar w:fldCharType="end"/>
      </w:r>
      <w:r w:rsidRPr="00B20C9E">
        <w:rPr>
          <w:rFonts w:ascii="Times New Roman" w:hAnsi="Times New Roman" w:cs="Times New Roman"/>
        </w:rPr>
        <w:t xml:space="preserve">. </w:t>
      </w:r>
      <w:r>
        <w:rPr>
          <w:rFonts w:ascii="Times New Roman" w:hAnsi="Times New Roman" w:cs="Times New Roman"/>
        </w:rPr>
        <w:t xml:space="preserve">Germline deletion of furin is embryonically lethal and therefore cell-specific functionality of furin is still being examined. These mice have been bred to mice expressing T cell-expressing cre-recombinase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"10.1038/nature07210", "ISSN" : "0028-0836", "abstract" : "The protease furin is induced on T cell activation and is a target of Stat-transcription factors in T cells. Studying furin has been hampered by the fact that germline deletion of this gene is embryonically lethal. Here furin's physiological role in T cells is studied using a T cell-specific furin knockout mice. The striking finding is that conditional deletion of furin in T cells results in loss of peripheral tolerance and systemic autoimmune disease. Furin deficiency compromises TGF- release and Treg function, and is associated with inherently more aggressive effector T cells. This research suggests that inhibiting furin may promote the immune response but may also cause the loss of peripheral tolerance by reducing levels of bioavailable TGF--1.", "author" : [ { "dropping-particle" : "", "family" : "Pesu", "given" : "Marko", "non-dropping-particle" : "", "parse-names" : false, "suffix" : "" }, { "dropping-particle" : "", "family" : "Watford", "given" : "Wendy T.", "non-dropping-particle" : "", "parse-names" : false, "suffix" : "" }, { "dropping-particle" : "", "family" : "Wei", "given" : "Lai", "non-dropping-particle" : "", "parse-names" : false, "suffix" : "" }, { "dropping-particle" : "", "family" : "Xu", "given" : "Lili", "non-dropping-particle" : "", "parse-names" : false, "suffix" : "" }, { "dropping-particle" : "", "family" : "Fuss", "given" : "Ivan", "non-dropping-particle" : "", "parse-names" : false, "suffix" : "" }, { "dropping-particle" : "", "family" : "Strober", "given" : "Warren", "non-dropping-particle" : "", "parse-names" : false, "suffix" : "" }, { "dropping-particle" : "", "family" : "Andersson", "given" : "John", "non-dropping-particle" : "", "parse-names" : false, "suffix" : "" }, { "dropping-particle" : "", "family" : "Shevach", "given" : "Ethan M.", "non-dropping-particle" : "", "parse-names" : false, "suffix" : "" }, { "dropping-particle" : "", "family" : "Quezado", "given" : "Martha", "non-dropping-particle" : "", "parse-names" : false, "suffix" : "" }, { "dropping-particle" : "", "family" : "Bouladoux", "given" : "Nicolas", "non-dropping-particle" : "", "parse-names" : false, "suffix" : "" }, { "dropping-particle" : "", "family" : "Roebroek", "given" : "Anton", "non-dropping-particle" : "", "parse-names" : false, "suffix" : "" }, { "dropping-particle" : "", "family" : "Belkaid", "given" : "Yasmine", "non-dropping-particle" : "", "parse-names" : false, "suffix" : "" }, { "dropping-particle" : "", "family" : "Creemers", "given" : "John", "non-dropping-particle" : "", "parse-names" : false, "suffix" : "" }, { "dropping-particle" : "", "family" : "O\u2019Shea", "given" : "John J.", "non-dropping-particle" : "", "parse-names" : false, "suffix" : "" } ], "container-title" : "Nature", "id" : "ITEM-1", "issue" : "7210", "issued" : { "date-parts" : [ [ "2008", "9", "11" ] ] }, "page" : "246-250", "publisher" : "Nature Publishing Group", "title" : "T-cell-expressed proprotein convertase furin is essential for maintenance of peripheral immune tolerance", "type" : "article-journal", "volume" : "455" }, "uris" : [ "http://www.mendeley.com/documents/?uuid=9a851bb4-83ec-37fb-a7d8-57b229bad3b7" ] } ], "mendeley" : { "formattedCitation" : "(Pesu et al., 2008)", "plainTextFormattedCitation" : "(Pesu et al., 2008)", "previouslyFormattedCitation" : "(Pesu et al., 2008)" }, "properties" : {  }, "schema" : "https://github.com/citation-style-language/schema/raw/master/csl-citation.json" }</w:instrText>
      </w:r>
      <w:r>
        <w:rPr>
          <w:rFonts w:ascii="Times New Roman" w:hAnsi="Times New Roman" w:cs="Times New Roman"/>
        </w:rPr>
        <w:fldChar w:fldCharType="separate"/>
      </w:r>
      <w:r w:rsidRPr="009B0906">
        <w:rPr>
          <w:rFonts w:ascii="Times New Roman" w:hAnsi="Times New Roman" w:cs="Times New Roman"/>
          <w:noProof/>
        </w:rPr>
        <w:t>(Pesu et al., 2008)</w:t>
      </w:r>
      <w:r>
        <w:rPr>
          <w:rFonts w:ascii="Times New Roman" w:hAnsi="Times New Roman" w:cs="Times New Roman"/>
        </w:rPr>
        <w:fldChar w:fldCharType="end"/>
      </w:r>
      <w:r>
        <w:rPr>
          <w:rFonts w:ascii="Times New Roman" w:hAnsi="Times New Roman" w:cs="Times New Roman"/>
        </w:rPr>
        <w:t xml:space="preserve">, but never B cell cre-recombinase. Cre-recombinase is essential for the recombination of DNA between the flanked lox-p sites. I propose to breed these mice (loxp sites on furin) to CD19-cre mice. CD19 is a transmembrane protein which is </w:t>
      </w:r>
      <w:r w:rsidRPr="00B20C9E">
        <w:rPr>
          <w:rFonts w:ascii="Times New Roman" w:hAnsi="Times New Roman" w:cs="Times New Roman"/>
        </w:rPr>
        <w:t xml:space="preserve">a biomarker for B cells and is critical for B cell signaling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"10.1186/2162-3619-1-36", "ISSN" : "2162-3619", "PMID" : "23210908", "abstract" : "The human CD19 antigen is a 95 kd transmembrane glycoprotein belonging to the immunoglobulin superfamily. CD19 is classified as a type I transmembrane protein, with a single transmembrane domain, a cytoplasmic C-terminus, and extracellular N-terminus. CD19 is a biomarker for normal and neoplastic B cells, as well as follicular dendritic cells. CD19 is critically involved in establishing intrinsic B cell signaling thresholds through modulating both B cell receptor-dependent and independent signaling. CD19 functions as the dominant signaling component of a multimolecular complex on the surface of mature B cells, alongside complement receptor CD21, and the tetraspanin membrane protein CD81 (TAPA-1), as well as CD225. Through study of CD19 transgenic and knockout mouse models, it becomes clear that CD19 plays a critical role in maintaining the balance between humoral, antigen-induced response and tolerance induction. This review also summarized latest clinical development of CD19 antibodies, anti-B4-bR (an immunotoxin conjugate), blinatumomab (BiTE), and SAR3419 (huB4-DM4), a novel antibody-drug conjugate.", "author" : [ { "dropping-particle" : "", "family" : "Wang", "given" : "Kemeng", "non-dropping-particle" : "", "parse-names" : false, "suffix" : "" }, { "dropping-particle" : "", "family" : "Wei", "given" : "Guoqing", "non-dropping-particle" : "", "parse-names" : false, "suffix" : "" }, { "dropping-particle" : "", "family" : "Liu", "given" : "Delong", "non-dropping-particle" : "", "parse-names" : false, "suffix" : "" } ], "container-title" : "Experimental hematology &amp; oncology", "id" : "ITEM-1", "issue" : "1", "issued" : { "date-parts" : [ [ "2012", "11", "29" ] ] }, "page" : "36", "publisher" : "BioMed Central", "title" : "CD19: a biomarker for B cell development, lymphoma diagnosis and therapy.", "type" : "article-journal", "volume" : "1" }, "uris" : [ "http://www.mendeley.com/documents/?uuid=fefaf9a9-e68a-372c-83b3-dd09137d6d78" ] } ], "mendeley" : { "formattedCitation" : "(Wang, Wei, &amp; Liu, 2012)", "plainTextFormattedCitation" : "(Wang, Wei, &amp; Liu, 2012)", "previouslyFormattedCitation" : "(Wang, Wei, &amp; Liu, 2012)"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(Wang, Wei, &amp; Liu, 2012)</w:t>
      </w:r>
      <w:r w:rsidRPr="00B20C9E">
        <w:rPr>
          <w:rFonts w:ascii="Times New Roman" w:hAnsi="Times New Roman" w:cs="Times New Roman"/>
        </w:rPr>
        <w:fldChar w:fldCharType="end"/>
      </w:r>
      <w:r w:rsidRPr="00B20C9E">
        <w:rPr>
          <w:rFonts w:ascii="Times New Roman" w:hAnsi="Times New Roman" w:cs="Times New Roman"/>
        </w:rPr>
        <w:t>.</w:t>
      </w:r>
      <w:r>
        <w:rPr>
          <w:rFonts w:ascii="Times New Roman" w:hAnsi="Times New Roman" w:cs="Times New Roman"/>
        </w:rPr>
        <w:t xml:space="preserve"> CD19 is also expressed at the earliest stages and throughout B cell development and differentiation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"10.1093/nar/25.6.1317", "ISSN" : "13624962", "author" : [ { "dropping-particle" : "", "family" : "Rickert", "given" : "R.", "non-dropping-particle" : "", "parse-names" : false, "suffix" : "" }, { "dropping-particle" : "", "family" : "Roes", "given" : "J\u00fcrgen", "non-dropping-particle" : "", "parse-names" : false, "suffix" : "" }, { "dropping-particle" : "", "family" : "Rajewsky", "given" : "Klaus", "non-dropping-particle" : "", "parse-names" : false, "suffix" : "" } ], "container-title" : "Nucleic Acids Research", "id" : "ITEM-1", "issue" : "6", "issued" : { "date-parts" : [ [ "1997", "3", "15" ] ] }, "page" : "1317-1318", "publisher" : "Oxford University Press", "title" : "B lymphocyte-specific, Cre-mediated mutagenesis in mice", "type" : "article-journal", "volume" : "25" }, "uris" : [ "http://www.mendeley.com/documents/?uuid=111b105c-1290-33e3-9df9-f377660b5484" ] } ], "mendeley" : { "formattedCitation" : "(Rickert, Roes, &amp; Rajewsky, 1997)", "plainTextFormattedCitation" : "(Rickert, Roes, &amp; Rajewsky, 1997)", "previouslyFormattedCitation" : "(Rickert, Roes, &amp; Rajewsky, 1997)" }, "properties" : {  }, "schema" : "https://github.com/citation-style-language/schema/raw/master/csl-citation.json" }</w:instrText>
      </w:r>
      <w:r>
        <w:rPr>
          <w:rFonts w:ascii="Times New Roman" w:hAnsi="Times New Roman" w:cs="Times New Roman"/>
        </w:rPr>
        <w:fldChar w:fldCharType="separate"/>
      </w:r>
      <w:r w:rsidRPr="00A42617">
        <w:rPr>
          <w:rFonts w:ascii="Times New Roman" w:hAnsi="Times New Roman" w:cs="Times New Roman"/>
          <w:noProof/>
        </w:rPr>
        <w:t>(Rickert, Roes, &amp; Rajewsky, 1997)</w:t>
      </w:r>
      <w:r>
        <w:rPr>
          <w:rFonts w:ascii="Times New Roman" w:hAnsi="Times New Roman" w:cs="Times New Roman"/>
        </w:rPr>
        <w:fldChar w:fldCharType="end"/>
      </w:r>
      <w:r>
        <w:rPr>
          <w:rFonts w:ascii="Times New Roman" w:hAnsi="Times New Roman" w:cs="Times New Roman"/>
        </w:rPr>
        <w:t xml:space="preserve">. In order to develop CD19-cre expressing mice, a cre expression cassette will be inserted into the second exon of CD19 by homologous recombination in </w:t>
      </w:r>
      <w:r>
        <w:rPr>
          <w:rFonts w:ascii="Times New Roman" w:hAnsi="Times New Roman" w:cs="Times New Roman"/>
        </w:rPr>
        <w:lastRenderedPageBreak/>
        <w:t xml:space="preserve">embryonic stem cells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"10.1093/nar/25.6.1317", "ISSN" : "13624962", "author" : [ { "dropping-particle" : "", "family" : "Rickert", "given" : "R.", "non-dropping-particle" : "", "parse-names" : false, "suffix" : "" }, { "dropping-particle" : "", "family" : "Roes", "given" : "J\u00fcrgen", "non-dropping-particle" : "", "parse-names" : false, "suffix" : "" }, { "dropping-particle" : "", "family" : "Rajewsky", "given" : "Klaus", "non-dropping-particle" : "", "parse-names" : false, "suffix" : "" } ], "container-title" : "Nucleic Acids Research", "id" : "ITEM-1", "issue" : "6", "issued" : { "date-parts" : [ [ "1997", "3", "15" ] ] }, "page" : "1317-1318", "publisher" : "Oxford University Press", "title" : "B lymphocyte-specific, Cre-mediated mutagenesis in mice", "type" : "article-journal", "volume" : "25" }, "uris" : [ "http://www.mendeley.com/documents/?uuid=111b105c-1290-33e3-9df9-f377660b5484" ] } ], "mendeley" : { "formattedCitation" : "(Rickert et al., 1997)", "plainTextFormattedCitation" : "(Rickert et al., 1997)", "previouslyFormattedCitation" : "(Rickert et al., 1997)" }, "properties" : {  }, "schema" : "https://github.com/citation-style-language/schema/raw/master/csl-citation.json" }</w:instrText>
      </w:r>
      <w:r>
        <w:rPr>
          <w:rFonts w:ascii="Times New Roman" w:hAnsi="Times New Roman" w:cs="Times New Roman"/>
        </w:rPr>
        <w:fldChar w:fldCharType="separate"/>
      </w:r>
      <w:r w:rsidRPr="002100BE">
        <w:rPr>
          <w:rFonts w:ascii="Times New Roman" w:hAnsi="Times New Roman" w:cs="Times New Roman"/>
          <w:noProof/>
        </w:rPr>
        <w:t>(Rickert et al., 1997)</w:t>
      </w:r>
      <w:r>
        <w:rPr>
          <w:rFonts w:ascii="Times New Roman" w:hAnsi="Times New Roman" w:cs="Times New Roman"/>
        </w:rPr>
        <w:fldChar w:fldCharType="end"/>
      </w:r>
      <w:r>
        <w:rPr>
          <w:rFonts w:ascii="Times New Roman" w:hAnsi="Times New Roman" w:cs="Times New Roman"/>
        </w:rPr>
        <w:t xml:space="preserve">. Homozygous mice are CD19-deficient, so heterozygous mice are phenotypically normal and can be used for specific deletion of floxed genes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"https://www.jax.org/strain/004126", "accessed" : { "date-parts" : [ [ "2017", "12", "9" ] ] }, "id" : "ITEM-1", "issued" : { "date-parts" : [ [ "0" ] ] }, "title" : "004126 - C.Cg-Cd19 Igh/J", "type" : "webpage" }, "uris" : [ "http://www.mendeley.com/documents/?uuid=fa02d8e7-c44e-30b9-871a-3104f5437dc9" ] } ], "mendeley" : { "formattedCitation" : "(\u201c004126 - C.Cg-Cd19 Igh/J,\u201d n.d.)", "plainTextFormattedCitation" : "(\u201c004126 - C.Cg-Cd19 Igh/J,\u201d n.d.)", "previouslyFormattedCitation" : "(\u201c004126 - C.Cg-Cd19 Igh/J,\u201d n.d.)" }, "properties" : {  }, "schema" : "https://github.com/citation-style-language/schema/raw/master/csl-citation.json" }</w:instrText>
      </w:r>
      <w:r>
        <w:rPr>
          <w:rFonts w:ascii="Times New Roman" w:hAnsi="Times New Roman" w:cs="Times New Roman"/>
        </w:rPr>
        <w:fldChar w:fldCharType="separate"/>
      </w:r>
      <w:r w:rsidRPr="00295885">
        <w:rPr>
          <w:rFonts w:ascii="Times New Roman" w:hAnsi="Times New Roman" w:cs="Times New Roman"/>
          <w:noProof/>
        </w:rPr>
        <w:t>(“004126 - C.Cg-Cd19 Igh/J,” n.d.)</w:t>
      </w:r>
      <w:r>
        <w:rPr>
          <w:rFonts w:ascii="Times New Roman" w:hAnsi="Times New Roman" w:cs="Times New Roman"/>
        </w:rPr>
        <w:fldChar w:fldCharType="end"/>
      </w:r>
      <w:r>
        <w:rPr>
          <w:rFonts w:ascii="Times New Roman" w:hAnsi="Times New Roman" w:cs="Times New Roman"/>
        </w:rPr>
        <w:t xml:space="preserve">. </w:t>
      </w:r>
      <w:r w:rsidRPr="00B20C9E">
        <w:rPr>
          <w:rFonts w:ascii="Times New Roman" w:hAnsi="Times New Roman" w:cs="Times New Roman"/>
        </w:rPr>
        <w:t>CD19-cre mice express cre-recombinase when the CD19 promoter is turned on</w:t>
      </w:r>
      <w:r>
        <w:rPr>
          <w:rFonts w:ascii="Times New Roman" w:hAnsi="Times New Roman" w:cs="Times New Roman"/>
        </w:rPr>
        <w:t xml:space="preserve"> (expressing CD19)</w:t>
      </w:r>
      <w:r w:rsidRPr="00B20C9E">
        <w:rPr>
          <w:rFonts w:ascii="Times New Roman" w:hAnsi="Times New Roman" w:cs="Times New Roman"/>
        </w:rPr>
        <w:t>, which is only in B cells. Once these mice are bred to homozygosity for fur</w:t>
      </w:r>
      <w:r w:rsidRPr="00B20C9E">
        <w:rPr>
          <w:rFonts w:ascii="Times New Roman" w:hAnsi="Times New Roman" w:cs="Times New Roman"/>
          <w:vertAlign w:val="superscript"/>
        </w:rPr>
        <w:t>fl/fl</w:t>
      </w:r>
      <w:r w:rsidRPr="00B20C9E">
        <w:rPr>
          <w:rFonts w:ascii="Times New Roman" w:hAnsi="Times New Roman" w:cs="Times New Roman"/>
        </w:rPr>
        <w:t xml:space="preserve"> and heterozygosity for CD19-cre, they will be fur</w:t>
      </w:r>
      <w:r w:rsidRPr="00B20C9E">
        <w:rPr>
          <w:rFonts w:ascii="Times New Roman" w:hAnsi="Times New Roman" w:cs="Times New Roman"/>
          <w:vertAlign w:val="superscript"/>
        </w:rPr>
        <w:t>Bcell-/-</w:t>
      </w:r>
      <w:r w:rsidRPr="00B20C9E">
        <w:rPr>
          <w:rFonts w:ascii="Times New Roman" w:hAnsi="Times New Roman" w:cs="Times New Roman"/>
        </w:rPr>
        <w:t xml:space="preserve"> mice</w:t>
      </w:r>
      <w:r>
        <w:rPr>
          <w:rFonts w:ascii="Times New Roman" w:hAnsi="Times New Roman" w:cs="Times New Roman"/>
        </w:rPr>
        <w:t xml:space="preserve"> (furin will no longer be present in bcells)</w:t>
      </w:r>
      <w:r w:rsidRPr="00B20C9E">
        <w:rPr>
          <w:rFonts w:ascii="Times New Roman" w:hAnsi="Times New Roman" w:cs="Times New Roman"/>
        </w:rPr>
        <w:t>.</w:t>
      </w:r>
      <w:r>
        <w:rPr>
          <w:rFonts w:ascii="Times New Roman" w:hAnsi="Times New Roman" w:cs="Times New Roman"/>
        </w:rPr>
        <w:t xml:space="preserve"> A PCR (polymerase chain reaction) will be run to verify that, the furin gene has been knocked out with primers obtained from Jackson Laboratories. The PCR will amplify any instances of the furin gene between the loxP sites to verify that mouse is homozygous</w:t>
      </w:r>
      <w:r w:rsidRPr="00B20C9E">
        <w:rPr>
          <w:rFonts w:ascii="Times New Roman" w:hAnsi="Times New Roman" w:cs="Times New Roman"/>
        </w:rPr>
        <w:t xml:space="preserve"> for fur</w:t>
      </w:r>
      <w:r w:rsidRPr="00B20C9E">
        <w:rPr>
          <w:rFonts w:ascii="Times New Roman" w:hAnsi="Times New Roman" w:cs="Times New Roman"/>
          <w:vertAlign w:val="superscript"/>
        </w:rPr>
        <w:t>fl/fl</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"https://www.promega.com/resources/product-guides-and-selectors/protocols-and-applications-guide/pcr-amplification/", "accessed" : { "date-parts" : [ [ "2017", "12", "9" ] ] }, "id" : "ITEM-1", "issued" : { "date-parts" : [ [ "0" ] ] }, "title" : "PCR Amplification", "type" : "webpage" }, "uris" : [ "http://www.mendeley.com/documents/?uuid=0a499f73-8d93-393d-a858-1d7accaeb8ae" ] } ], "mendeley" : { "formattedCitation" : "(\u201cPCR Amplification,\u201d n.d.)", "plainTextFormattedCitation" : "(\u201cPCR Amplification,\u201d n.d.)", "previouslyFormattedCitation" : "(\u201cPCR Amplification,\u201d n.d.)" }, "properties" : {  }, "schema" : "https://github.com/citation-style-language/schema/raw/master/csl-citation.json" }</w:instrText>
      </w:r>
      <w:r>
        <w:rPr>
          <w:rFonts w:ascii="Times New Roman" w:hAnsi="Times New Roman" w:cs="Times New Roman"/>
        </w:rPr>
        <w:fldChar w:fldCharType="separate"/>
      </w:r>
      <w:r w:rsidRPr="00854CB8">
        <w:rPr>
          <w:rFonts w:ascii="Times New Roman" w:hAnsi="Times New Roman" w:cs="Times New Roman"/>
          <w:noProof/>
        </w:rPr>
        <w:t>(“PCR Amplification,” n.d.)</w:t>
      </w:r>
      <w:r>
        <w:rPr>
          <w:rFonts w:ascii="Times New Roman" w:hAnsi="Times New Roman" w:cs="Times New Roman"/>
        </w:rPr>
        <w:fldChar w:fldCharType="end"/>
      </w:r>
      <w:r>
        <w:rPr>
          <w:rFonts w:ascii="Times New Roman" w:hAnsi="Times New Roman" w:cs="Times New Roman"/>
        </w:rPr>
        <w:t xml:space="preserve">. Lastly, a western blot will be performed on a secondary lymphoid organs to determine if the furin gene is being expressed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"10.4103/1947-2714.100998", "ISSN" : "1947-2714", "PMID" : "23050259", "abstract" : "Western blotting is an important technique used in cell and molecular biology. By using a western blot, researchers are able to identify specific proteins from a complex mixture of proteins extracted from cells. The technique uses three elements to accomplish this task: (1) separation by size, (2) transfer to a solid support, and (3) marking target protein using a proper primary and secondary antibody to visualize. This paper will attempt to explain the technique and theory behind western blot, and offer some ways to troubleshoot.", "author" : [ { "dropping-particle" : "", "family" : "Mahmood", "given" : "Tahrin", "non-dropping-particle" : "", "parse-names" : false, "suffix" : "" }, { "dropping-particle" : "", "family" : "Yang", "given" : "Ping-Chang", "non-dropping-particle" : "", "parse-names" : false, "suffix" : "" } ], "container-title" : "North American journal of medical sciences", "id" : "ITEM-1", "issue" : "9", "issued" : { "date-parts" : [ [ "2012", "9" ] ] }, "page" : "429-34", "publisher" : "Wolters Kluwer -- Medknow Publications", "title" : "Western blot: technique, theory, and trouble shooting.", "type" : "article-journal", "volume" : "4" }, "uris" : [ "http://www.mendeley.com/documents/?uuid=9ddb3543-f6f6-3371-86ce-73b2679fadf1" ] } ], "mendeley" : { "formattedCitation" : "(Mahmood &amp; Yang, 2012)", "plainTextFormattedCitation" : "(Mahmood &amp; Yang, 2012)", "previouslyFormattedCitation" : "(Mahmood &amp; Yang, 2012)" }, "properties" : {  }, "schema" : "https://github.com/citation-style-language/schema/raw/master/csl-citation.json" }</w:instrText>
      </w:r>
      <w:r>
        <w:rPr>
          <w:rFonts w:ascii="Times New Roman" w:hAnsi="Times New Roman" w:cs="Times New Roman"/>
        </w:rPr>
        <w:fldChar w:fldCharType="separate"/>
      </w:r>
      <w:r w:rsidRPr="00854CB8">
        <w:rPr>
          <w:rFonts w:ascii="Times New Roman" w:hAnsi="Times New Roman" w:cs="Times New Roman"/>
          <w:noProof/>
        </w:rPr>
        <w:t>(Mahmood &amp; Yang, 2012)</w:t>
      </w:r>
      <w:r>
        <w:rPr>
          <w:rFonts w:ascii="Times New Roman" w:hAnsi="Times New Roman" w:cs="Times New Roman"/>
        </w:rPr>
        <w:fldChar w:fldCharType="end"/>
      </w:r>
      <w:r>
        <w:rPr>
          <w:rFonts w:ascii="Times New Roman" w:hAnsi="Times New Roman" w:cs="Times New Roman"/>
        </w:rPr>
        <w:t xml:space="preserve">.  </w:t>
      </w:r>
    </w:p>
    <w:p w14:paraId="2BD22CCF" w14:textId="77777777" w:rsidR="007013F6" w:rsidRDefault="007013F6" w:rsidP="007013F6">
      <w:pPr>
        <w:spacing w:after="0" w:line="480" w:lineRule="auto"/>
        <w:ind w:firstLine="720"/>
        <w:jc w:val="both"/>
        <w:rPr>
          <w:rFonts w:ascii="Times New Roman" w:hAnsi="Times New Roman" w:cs="Times New Roman"/>
        </w:rPr>
      </w:pPr>
      <w:r>
        <w:rPr>
          <w:rFonts w:ascii="Times New Roman" w:hAnsi="Times New Roman" w:cs="Times New Roman"/>
        </w:rPr>
        <w:t>Next, to</w:t>
      </w:r>
      <w:r w:rsidR="002E2163">
        <w:rPr>
          <w:rFonts w:ascii="Times New Roman" w:hAnsi="Times New Roman" w:cs="Times New Roman"/>
        </w:rPr>
        <w:t xml:space="preserve"> confirm furin has been excised and is not being expressed</w:t>
      </w:r>
      <w:r>
        <w:rPr>
          <w:rFonts w:ascii="Times New Roman" w:hAnsi="Times New Roman" w:cs="Times New Roman"/>
        </w:rPr>
        <w:t xml:space="preserve"> in B-cells, a western blot will be run</w:t>
      </w:r>
      <w:r w:rsidR="002E2163">
        <w:rPr>
          <w:rFonts w:ascii="Times New Roman" w:hAnsi="Times New Roman" w:cs="Times New Roman"/>
        </w:rPr>
        <w:t xml:space="preserve"> to assess protein levels. Essentially, proteins from the</w:t>
      </w:r>
      <w:r>
        <w:rPr>
          <w:rFonts w:ascii="Times New Roman" w:hAnsi="Times New Roman" w:cs="Times New Roman"/>
        </w:rPr>
        <w:t xml:space="preserve"> sample will be blotted onto a piece of nitrocellulose paper</w:t>
      </w:r>
      <w:r w:rsidR="002E2163">
        <w:rPr>
          <w:rFonts w:ascii="Times New Roman" w:hAnsi="Times New Roman" w:cs="Times New Roman"/>
        </w:rPr>
        <w:t xml:space="preserve"> that allows antibodies against the protein of interest to be utilized </w:t>
      </w:r>
      <w:r>
        <w:rPr>
          <w:rFonts w:ascii="Times New Roman" w:hAnsi="Times New Roman" w:cs="Times New Roman"/>
        </w:rPr>
        <w:t xml:space="preserve">to detect </w:t>
      </w:r>
      <w:r w:rsidR="002E2163">
        <w:rPr>
          <w:rFonts w:ascii="Times New Roman" w:hAnsi="Times New Roman" w:cs="Times New Roman"/>
        </w:rPr>
        <w:t xml:space="preserve">whether the protein </w:t>
      </w:r>
      <w:r>
        <w:rPr>
          <w:rFonts w:ascii="Times New Roman" w:hAnsi="Times New Roman" w:cs="Times New Roman"/>
        </w:rPr>
        <w:t>is present (or not)</w:t>
      </w:r>
      <w:r w:rsidR="002E2163">
        <w:rPr>
          <w:rFonts w:ascii="Times New Roman" w:hAnsi="Times New Roman" w:cs="Times New Roman"/>
        </w:rPr>
        <w:t xml:space="preserve"> through the enzymatic production of chemical light that is detected on a blot reader</w:t>
      </w:r>
      <w:r>
        <w:rPr>
          <w:rFonts w:ascii="Times New Roman" w:hAnsi="Times New Roman" w:cs="Times New Roman"/>
        </w:rPr>
        <w:t>. First, purified B-cells will be extracted from the spleen</w:t>
      </w:r>
      <w:r w:rsidR="002E2163">
        <w:rPr>
          <w:rFonts w:ascii="Times New Roman" w:hAnsi="Times New Roman" w:cs="Times New Roman"/>
        </w:rPr>
        <w:t>. This will be accomplished u</w:t>
      </w:r>
      <w:r>
        <w:rPr>
          <w:rFonts w:ascii="Times New Roman" w:hAnsi="Times New Roman" w:cs="Times New Roman"/>
        </w:rPr>
        <w:t>sing magnetic bead</w:t>
      </w:r>
      <w:r w:rsidR="002E2163">
        <w:rPr>
          <w:rFonts w:ascii="Times New Roman" w:hAnsi="Times New Roman" w:cs="Times New Roman"/>
        </w:rPr>
        <w:t xml:space="preserve"> selection on </w:t>
      </w:r>
      <w:r>
        <w:rPr>
          <w:rFonts w:ascii="Times New Roman" w:hAnsi="Times New Roman" w:cs="Times New Roman"/>
        </w:rPr>
        <w:t>a single cell suspension</w:t>
      </w:r>
      <w:r w:rsidR="002E2163">
        <w:rPr>
          <w:rFonts w:ascii="Times New Roman" w:hAnsi="Times New Roman" w:cs="Times New Roman"/>
        </w:rPr>
        <w:t xml:space="preserve"> made from the spleen</w:t>
      </w:r>
      <w:r>
        <w:rPr>
          <w:rFonts w:ascii="Times New Roman" w:hAnsi="Times New Roman" w:cs="Times New Roman"/>
        </w:rPr>
        <w:t>. The spleen contains roughly 55% B-cells</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"10.1093/intimm/dxm107", "ISSN" : "0953-8178", "author" : [ { "dropping-particle" : "", "family" : "Pellegrini", "given" : "A.", "non-dropping-particle" : "", "parse-names" : false, "suffix" : "" }, { "dropping-particle" : "", "family" : "Guinazu", "given" : "N.", "non-dropping-particle" : "", "parse-names" : false, "suffix" : "" }, { "dropping-particle" : "", "family" : "Aoki", "given" : "M. P.", "non-dropping-particle" : "", "parse-names" : false, "suffix" : "" }, { "dropping-particle" : "", "family" : "Calero", "given" : "I. C.", "non-dropping-particle" : "", "parse-names" : false, "suffix" : "" }, { "dropping-particle" : "", "family" : "Carrera-Silva", "given" : "E. A.", "non-dropping-particle" : "", "parse-names" : false, "suffix" : "" }, { "dropping-particle" : "", "family" : "Girones", "given" : "N.", "non-dropping-particle" : "", "parse-names" : false, "suffix" : "" }, { "dropping-particle" : "", "family" : "Fresno", "given" : "M.", "non-dropping-particle" : "", "parse-names" : false, "suffix" : "" }, { "dropping-particle" : "", "family" : "Gea", "given" : "S.", "non-dropping-particle" : "", "parse-names" : false, "suffix" : "" } ], "container-title" : "International Immunology", "id" : "ITEM-1", "issue" : "12", "issued" : { "date-parts" : [ [ "2007", "12", "1" ] ] }, "page" : "1395-1402", "publisher" : "Oxford University Press", "title" : "Spleen B cells from BALB/c are more prone to activation than spleen B cells from C57BL/6 mice during a secondary immune response to cruzipain", "type" : "article-journal", "volume" : "19" }, "uris" : [ "http://www.mendeley.com/documents/?uuid=820c4a26-efc9-3bc3-95f7-4604107d600c" ] } ], "mendeley" : { "formattedCitation" : "(Pellegrini et al., 2007)", "plainTextFormattedCitation" : "(Pellegrini et al., 2007)", "previouslyFormattedCitation" : "(Pellegrini et al., 2007)" }, "properties" : {  }, "schema" : "https://github.com/citation-style-language/schema/raw/master/csl-citation.json" }</w:instrText>
      </w:r>
      <w:r>
        <w:rPr>
          <w:rFonts w:ascii="Times New Roman" w:hAnsi="Times New Roman" w:cs="Times New Roman"/>
        </w:rPr>
        <w:fldChar w:fldCharType="separate"/>
      </w:r>
      <w:r w:rsidRPr="00735439">
        <w:rPr>
          <w:rFonts w:ascii="Times New Roman" w:hAnsi="Times New Roman" w:cs="Times New Roman"/>
          <w:noProof/>
        </w:rPr>
        <w:t>(Pellegrini et al., 2007)</w:t>
      </w:r>
      <w:r>
        <w:rPr>
          <w:rFonts w:ascii="Times New Roman" w:hAnsi="Times New Roman" w:cs="Times New Roman"/>
        </w:rPr>
        <w:fldChar w:fldCharType="end"/>
      </w:r>
      <w:r>
        <w:rPr>
          <w:rFonts w:ascii="Times New Roman" w:hAnsi="Times New Roman" w:cs="Times New Roman"/>
        </w:rPr>
        <w:t>. Cd19-antibody</w:t>
      </w:r>
      <w:r w:rsidR="002E2163">
        <w:rPr>
          <w:rFonts w:ascii="Times New Roman" w:hAnsi="Times New Roman" w:cs="Times New Roman"/>
        </w:rPr>
        <w:t xml:space="preserve"> that is conjugated to magnetic beads</w:t>
      </w:r>
      <w:r w:rsidR="003A559A">
        <w:rPr>
          <w:rFonts w:ascii="Times New Roman" w:hAnsi="Times New Roman" w:cs="Times New Roman"/>
        </w:rPr>
        <w:t xml:space="preserve"> will be incubated with the samples to target CD19+ B </w:t>
      </w:r>
      <w:r>
        <w:rPr>
          <w:rFonts w:ascii="Times New Roman" w:hAnsi="Times New Roman" w:cs="Times New Roman"/>
        </w:rPr>
        <w:t>cells. Next, the samples will be placed on a magnet</w:t>
      </w:r>
      <w:r w:rsidR="003A559A">
        <w:rPr>
          <w:rFonts w:ascii="Times New Roman" w:hAnsi="Times New Roman" w:cs="Times New Roman"/>
        </w:rPr>
        <w:t>ic column and the CD19- cells will be removed</w:t>
      </w:r>
      <w:r>
        <w:rPr>
          <w:rFonts w:ascii="Times New Roman" w:hAnsi="Times New Roman" w:cs="Times New Roman"/>
        </w:rPr>
        <w:t>. What’s left is purif</w:t>
      </w:r>
      <w:r w:rsidR="003A559A">
        <w:rPr>
          <w:rFonts w:ascii="Times New Roman" w:hAnsi="Times New Roman" w:cs="Times New Roman"/>
        </w:rPr>
        <w:t xml:space="preserve">ied B-Cells. They will be removed from the magnet and flushed from the column. The </w:t>
      </w:r>
      <w:r>
        <w:rPr>
          <w:rFonts w:ascii="Times New Roman" w:hAnsi="Times New Roman" w:cs="Times New Roman"/>
        </w:rPr>
        <w:t>B-cel</w:t>
      </w:r>
      <w:r w:rsidR="003A559A">
        <w:rPr>
          <w:rFonts w:ascii="Times New Roman" w:hAnsi="Times New Roman" w:cs="Times New Roman"/>
        </w:rPr>
        <w:t>l depleted portion should be furin</w:t>
      </w:r>
      <w:r>
        <w:rPr>
          <w:rFonts w:ascii="Times New Roman" w:hAnsi="Times New Roman" w:cs="Times New Roman"/>
        </w:rPr>
        <w:t xml:space="preserve"> positive</w:t>
      </w:r>
      <w:r w:rsidR="003A559A">
        <w:rPr>
          <w:rFonts w:ascii="Times New Roman" w:hAnsi="Times New Roman" w:cs="Times New Roman"/>
        </w:rPr>
        <w:t xml:space="preserve"> and will be retained as a positive control for the western blot</w:t>
      </w:r>
      <w:r>
        <w:rPr>
          <w:rFonts w:ascii="Times New Roman" w:hAnsi="Times New Roman" w:cs="Times New Roman"/>
        </w:rPr>
        <w:t>. The B-cell</w:t>
      </w:r>
      <w:r w:rsidR="003A559A">
        <w:rPr>
          <w:rFonts w:ascii="Times New Roman" w:hAnsi="Times New Roman" w:cs="Times New Roman"/>
        </w:rPr>
        <w:t>s</w:t>
      </w:r>
      <w:r>
        <w:rPr>
          <w:rFonts w:ascii="Times New Roman" w:hAnsi="Times New Roman" w:cs="Times New Roman"/>
        </w:rPr>
        <w:t xml:space="preserve"> will then be placed</w:t>
      </w:r>
      <w:r w:rsidR="003A559A">
        <w:rPr>
          <w:rFonts w:ascii="Times New Roman" w:hAnsi="Times New Roman" w:cs="Times New Roman"/>
        </w:rPr>
        <w:t xml:space="preserve"> in lysis</w:t>
      </w:r>
      <w:r>
        <w:rPr>
          <w:rFonts w:ascii="Times New Roman" w:hAnsi="Times New Roman" w:cs="Times New Roman"/>
        </w:rPr>
        <w:t xml:space="preserve"> buffer which will cause cells lysis</w:t>
      </w:r>
      <w:r w:rsidR="003A559A">
        <w:rPr>
          <w:rFonts w:ascii="Times New Roman" w:hAnsi="Times New Roman" w:cs="Times New Roman"/>
        </w:rPr>
        <w:t>. All proteins in the cells will be extracted</w:t>
      </w:r>
      <w:r>
        <w:rPr>
          <w:rFonts w:ascii="Times New Roman" w:hAnsi="Times New Roman" w:cs="Times New Roman"/>
        </w:rPr>
        <w:t xml:space="preserve">. A Bradford assay will be run to calculate protein content. </w:t>
      </w:r>
      <w:r w:rsidR="003A559A">
        <w:rPr>
          <w:rFonts w:ascii="Times New Roman" w:hAnsi="Times New Roman" w:cs="Times New Roman"/>
        </w:rPr>
        <w:t>Equal protein will be loaded plus</w:t>
      </w:r>
      <w:r>
        <w:rPr>
          <w:rFonts w:ascii="Times New Roman" w:hAnsi="Times New Roman" w:cs="Times New Roman"/>
        </w:rPr>
        <w:t xml:space="preserve"> SDS (</w:t>
      </w:r>
      <w:r w:rsidRPr="008F4544">
        <w:rPr>
          <w:rFonts w:ascii="Times New Roman" w:hAnsi="Times New Roman" w:cs="Times New Roman"/>
          <w:color w:val="444444"/>
          <w:sz w:val="18"/>
          <w:szCs w:val="18"/>
          <w:shd w:val="clear" w:color="auto" w:fill="FFFFFF"/>
        </w:rPr>
        <w:t>Sodium dodecyl sulfate</w:t>
      </w:r>
      <w:r>
        <w:rPr>
          <w:rFonts w:ascii="Times New Roman" w:hAnsi="Times New Roman" w:cs="Times New Roman"/>
          <w:color w:val="444444"/>
          <w:sz w:val="18"/>
          <w:szCs w:val="18"/>
          <w:shd w:val="clear" w:color="auto" w:fill="FFFFFF"/>
        </w:rPr>
        <w:t>)</w:t>
      </w:r>
      <w:r w:rsidR="009046E5">
        <w:rPr>
          <w:rFonts w:ascii="Times New Roman" w:hAnsi="Times New Roman" w:cs="Times New Roman"/>
          <w:color w:val="444444"/>
          <w:sz w:val="18"/>
          <w:szCs w:val="18"/>
          <w:shd w:val="clear" w:color="auto" w:fill="FFFFFF"/>
        </w:rPr>
        <w:t>, loading dye</w:t>
      </w:r>
      <w:r w:rsidR="003A559A">
        <w:rPr>
          <w:rFonts w:ascii="Times New Roman" w:hAnsi="Times New Roman" w:cs="Times New Roman"/>
        </w:rPr>
        <w:t xml:space="preserve"> and </w:t>
      </w:r>
      <w:r>
        <w:rPr>
          <w:rFonts w:ascii="Times New Roman" w:hAnsi="Times New Roman" w:cs="Times New Roman"/>
        </w:rPr>
        <w:t>reducing buffer</w:t>
      </w:r>
      <w:r w:rsidR="003A559A">
        <w:rPr>
          <w:rFonts w:ascii="Times New Roman" w:hAnsi="Times New Roman" w:cs="Times New Roman"/>
        </w:rPr>
        <w:t xml:space="preserve">. SDS </w:t>
      </w:r>
      <w:r>
        <w:rPr>
          <w:rFonts w:ascii="Times New Roman" w:hAnsi="Times New Roman" w:cs="Times New Roman"/>
        </w:rPr>
        <w:t>will give the protei</w:t>
      </w:r>
      <w:r w:rsidR="003A559A">
        <w:rPr>
          <w:rFonts w:ascii="Times New Roman" w:hAnsi="Times New Roman" w:cs="Times New Roman"/>
        </w:rPr>
        <w:t>ns an equally negative charge, t</w:t>
      </w:r>
      <w:r>
        <w:rPr>
          <w:rFonts w:ascii="Times New Roman" w:hAnsi="Times New Roman" w:cs="Times New Roman"/>
        </w:rPr>
        <w:t>his will be important when running the gel. Reducing buffer de</w:t>
      </w:r>
      <w:r w:rsidR="003A559A">
        <w:rPr>
          <w:rFonts w:ascii="Times New Roman" w:hAnsi="Times New Roman" w:cs="Times New Roman"/>
        </w:rPr>
        <w:t xml:space="preserve">natures the protein. Next, </w:t>
      </w:r>
      <w:r>
        <w:rPr>
          <w:rFonts w:ascii="Times New Roman" w:hAnsi="Times New Roman" w:cs="Times New Roman"/>
        </w:rPr>
        <w:t>the contents</w:t>
      </w:r>
      <w:r w:rsidR="003A559A">
        <w:rPr>
          <w:rFonts w:ascii="Times New Roman" w:hAnsi="Times New Roman" w:cs="Times New Roman"/>
        </w:rPr>
        <w:t xml:space="preserve"> will be boiled at</w:t>
      </w:r>
      <w:r>
        <w:rPr>
          <w:rFonts w:ascii="Times New Roman" w:hAnsi="Times New Roman" w:cs="Times New Roman"/>
        </w:rPr>
        <w:t xml:space="preserve"> 95C for 5 min</w:t>
      </w:r>
      <w:r w:rsidR="003A559A">
        <w:rPr>
          <w:rFonts w:ascii="Times New Roman" w:hAnsi="Times New Roman" w:cs="Times New Roman"/>
        </w:rPr>
        <w:t xml:space="preserve">s. Then, </w:t>
      </w:r>
      <w:r>
        <w:rPr>
          <w:rFonts w:ascii="Times New Roman" w:hAnsi="Times New Roman" w:cs="Times New Roman"/>
        </w:rPr>
        <w:t>SDS- PAGE (</w:t>
      </w:r>
      <w:r w:rsidRPr="008F4544">
        <w:rPr>
          <w:rFonts w:ascii="Times New Roman" w:hAnsi="Times New Roman" w:cs="Times New Roman"/>
          <w:color w:val="444444"/>
          <w:sz w:val="18"/>
          <w:szCs w:val="18"/>
          <w:shd w:val="clear" w:color="auto" w:fill="FFFFFF"/>
        </w:rPr>
        <w:t>Sodium dodecyl sulfate polyacrylamide gel electrophoresis</w:t>
      </w:r>
      <w:r>
        <w:rPr>
          <w:rFonts w:ascii="Arial" w:hAnsi="Arial" w:cs="Arial"/>
          <w:color w:val="444444"/>
          <w:sz w:val="18"/>
          <w:szCs w:val="18"/>
          <w:shd w:val="clear" w:color="auto" w:fill="FFFFFF"/>
        </w:rPr>
        <w:t>)</w:t>
      </w:r>
      <w:r>
        <w:rPr>
          <w:rFonts w:ascii="Times New Roman" w:hAnsi="Times New Roman" w:cs="Times New Roman"/>
        </w:rPr>
        <w:t xml:space="preserve"> gel </w:t>
      </w:r>
      <w:r w:rsidR="003A559A">
        <w:rPr>
          <w:rFonts w:ascii="Times New Roman" w:hAnsi="Times New Roman" w:cs="Times New Roman"/>
        </w:rPr>
        <w:t xml:space="preserve">will be loaded </w:t>
      </w:r>
      <w:r>
        <w:rPr>
          <w:rFonts w:ascii="Times New Roman" w:hAnsi="Times New Roman" w:cs="Times New Roman"/>
        </w:rPr>
        <w:t>with samples and a protein ladder</w:t>
      </w:r>
      <w:r w:rsidR="003A559A">
        <w:rPr>
          <w:rFonts w:ascii="Times New Roman" w:hAnsi="Times New Roman" w:cs="Times New Roman"/>
        </w:rPr>
        <w:t xml:space="preserve"> for reference</w:t>
      </w:r>
      <w:r>
        <w:rPr>
          <w:rFonts w:ascii="Times New Roman" w:hAnsi="Times New Roman" w:cs="Times New Roman"/>
        </w:rPr>
        <w:t>.</w:t>
      </w:r>
      <w:r w:rsidR="003A559A">
        <w:rPr>
          <w:rFonts w:ascii="Times New Roman" w:hAnsi="Times New Roman" w:cs="Times New Roman"/>
        </w:rPr>
        <w:t xml:space="preserve"> The gel </w:t>
      </w:r>
      <w:r w:rsidR="003A559A">
        <w:rPr>
          <w:rFonts w:ascii="Times New Roman" w:hAnsi="Times New Roman" w:cs="Times New Roman"/>
        </w:rPr>
        <w:lastRenderedPageBreak/>
        <w:t>will then be run. Smaller proteins will move faster through the gel matrix towards the cathode.  The g</w:t>
      </w:r>
      <w:r>
        <w:rPr>
          <w:rFonts w:ascii="Times New Roman" w:hAnsi="Times New Roman" w:cs="Times New Roman"/>
        </w:rPr>
        <w:t>el</w:t>
      </w:r>
      <w:r w:rsidR="003A559A">
        <w:rPr>
          <w:rFonts w:ascii="Times New Roman" w:hAnsi="Times New Roman" w:cs="Times New Roman"/>
        </w:rPr>
        <w:t xml:space="preserve"> will be removed</w:t>
      </w:r>
      <w:r>
        <w:rPr>
          <w:rFonts w:ascii="Times New Roman" w:hAnsi="Times New Roman" w:cs="Times New Roman"/>
        </w:rPr>
        <w:t xml:space="preserve"> and place</w:t>
      </w:r>
      <w:r w:rsidR="003A559A">
        <w:rPr>
          <w:rFonts w:ascii="Times New Roman" w:hAnsi="Times New Roman" w:cs="Times New Roman"/>
        </w:rPr>
        <w:t>d over</w:t>
      </w:r>
      <w:r>
        <w:rPr>
          <w:rFonts w:ascii="Times New Roman" w:hAnsi="Times New Roman" w:cs="Times New Roman"/>
        </w:rPr>
        <w:t xml:space="preserve"> a </w:t>
      </w:r>
      <w:r w:rsidR="009046E5">
        <w:rPr>
          <w:rFonts w:ascii="Times New Roman" w:hAnsi="Times New Roman" w:cs="Times New Roman"/>
        </w:rPr>
        <w:t xml:space="preserve">nitrocellulose film </w:t>
      </w:r>
      <w:r>
        <w:rPr>
          <w:rFonts w:ascii="Times New Roman" w:hAnsi="Times New Roman" w:cs="Times New Roman"/>
        </w:rPr>
        <w:t>this will cause proteins to be transferred to the nitrocellulose paper</w:t>
      </w:r>
      <w:r w:rsidR="009046E5">
        <w:rPr>
          <w:rFonts w:ascii="Times New Roman" w:hAnsi="Times New Roman" w:cs="Times New Roman"/>
        </w:rPr>
        <w:t xml:space="preserve"> when run against a current</w:t>
      </w:r>
      <w:r>
        <w:rPr>
          <w:rFonts w:ascii="Times New Roman" w:hAnsi="Times New Roman" w:cs="Times New Roman"/>
        </w:rPr>
        <w:t xml:space="preserve">. </w:t>
      </w:r>
      <w:r w:rsidR="009046E5">
        <w:rPr>
          <w:rFonts w:ascii="Times New Roman" w:hAnsi="Times New Roman" w:cs="Times New Roman"/>
        </w:rPr>
        <w:t>T</w:t>
      </w:r>
      <w:r>
        <w:rPr>
          <w:rFonts w:ascii="Times New Roman" w:hAnsi="Times New Roman" w:cs="Times New Roman"/>
        </w:rPr>
        <w:t>he blot</w:t>
      </w:r>
      <w:r w:rsidR="009046E5">
        <w:rPr>
          <w:rFonts w:ascii="Times New Roman" w:hAnsi="Times New Roman" w:cs="Times New Roman"/>
        </w:rPr>
        <w:t xml:space="preserve"> will be blocked</w:t>
      </w:r>
      <w:r>
        <w:rPr>
          <w:rFonts w:ascii="Times New Roman" w:hAnsi="Times New Roman" w:cs="Times New Roman"/>
        </w:rPr>
        <w:t xml:space="preserve"> with milk protein (casein and whey), this prevents antibodies from binding to the nitrocellulose membrane nonspecifically. The nitrocellulose paper is then placed on shaker, and after an hour, the western blot is washed. Next, </w:t>
      </w:r>
      <w:r w:rsidR="009046E5">
        <w:rPr>
          <w:rFonts w:ascii="Times New Roman" w:hAnsi="Times New Roman" w:cs="Times New Roman"/>
        </w:rPr>
        <w:t xml:space="preserve">the </w:t>
      </w:r>
      <w:r>
        <w:rPr>
          <w:rFonts w:ascii="Times New Roman" w:hAnsi="Times New Roman" w:cs="Times New Roman"/>
        </w:rPr>
        <w:t>primary antibody in milk block</w:t>
      </w:r>
      <w:r w:rsidR="009046E5">
        <w:rPr>
          <w:rFonts w:ascii="Times New Roman" w:hAnsi="Times New Roman" w:cs="Times New Roman"/>
        </w:rPr>
        <w:t xml:space="preserve"> at a concentration of 1: 10,000 (1</w:t>
      </w:r>
      <w:r w:rsidR="009046E5">
        <w:rPr>
          <w:rFonts w:ascii="Calibri" w:hAnsi="Calibri" w:cs="Calibri"/>
        </w:rPr>
        <w:t>μ</w:t>
      </w:r>
      <w:r w:rsidR="009046E5">
        <w:rPr>
          <w:rFonts w:ascii="Times New Roman" w:hAnsi="Times New Roman" w:cs="Times New Roman"/>
        </w:rPr>
        <w:t>L in</w:t>
      </w:r>
      <w:r>
        <w:rPr>
          <w:rFonts w:ascii="Times New Roman" w:hAnsi="Times New Roman" w:cs="Times New Roman"/>
        </w:rPr>
        <w:t xml:space="preserve"> 10 mL) is added to the nitrocellulose membrane. It is then incubated overnight in the cold</w:t>
      </w:r>
      <w:r w:rsidR="009046E5">
        <w:rPr>
          <w:rFonts w:ascii="Times New Roman" w:hAnsi="Times New Roman" w:cs="Times New Roman"/>
        </w:rPr>
        <w:t xml:space="preserve"> (4-8C)</w:t>
      </w:r>
      <w:r>
        <w:rPr>
          <w:rFonts w:ascii="Times New Roman" w:hAnsi="Times New Roman" w:cs="Times New Roman"/>
        </w:rPr>
        <w:t xml:space="preserve"> on </w:t>
      </w:r>
      <w:r w:rsidR="009046E5">
        <w:rPr>
          <w:rFonts w:ascii="Times New Roman" w:hAnsi="Times New Roman" w:cs="Times New Roman"/>
        </w:rPr>
        <w:t>a shaker. Lastly, Anti Rabbit Ig</w:t>
      </w:r>
      <w:r>
        <w:rPr>
          <w:rFonts w:ascii="Times New Roman" w:hAnsi="Times New Roman" w:cs="Times New Roman"/>
        </w:rPr>
        <w:t>G conjugated</w:t>
      </w:r>
      <w:r w:rsidR="009046E5">
        <w:rPr>
          <w:rFonts w:ascii="Times New Roman" w:hAnsi="Times New Roman" w:cs="Times New Roman"/>
        </w:rPr>
        <w:t xml:space="preserve"> to</w:t>
      </w:r>
      <w:r>
        <w:rPr>
          <w:rFonts w:ascii="Times New Roman" w:hAnsi="Times New Roman" w:cs="Times New Roman"/>
        </w:rPr>
        <w:t xml:space="preserve"> HRP is added to the blot</w:t>
      </w:r>
      <w:r w:rsidR="009046E5">
        <w:rPr>
          <w:rFonts w:ascii="Times New Roman" w:hAnsi="Times New Roman" w:cs="Times New Roman"/>
        </w:rPr>
        <w:t>. This will bind to the original anti-furin antibody</w:t>
      </w:r>
      <w:r w:rsidR="009006DC">
        <w:rPr>
          <w:rFonts w:ascii="Times New Roman" w:hAnsi="Times New Roman" w:cs="Times New Roman"/>
        </w:rPr>
        <w:t xml:space="preserve"> so that the</w:t>
      </w:r>
      <w:r>
        <w:rPr>
          <w:rFonts w:ascii="Times New Roman" w:hAnsi="Times New Roman" w:cs="Times New Roman"/>
        </w:rPr>
        <w:t xml:space="preserve"> protein of interest(furin) is visible</w:t>
      </w:r>
      <w:r w:rsidR="009006DC">
        <w:rPr>
          <w:rFonts w:ascii="Times New Roman" w:hAnsi="Times New Roman" w:cs="Times New Roman"/>
        </w:rPr>
        <w:t xml:space="preserve"> when chemiluminescence substrate is added to the blot</w:t>
      </w:r>
      <w:r>
        <w:rPr>
          <w:rFonts w:ascii="Times New Roman" w:hAnsi="Times New Roman" w:cs="Times New Roman"/>
        </w:rPr>
        <w:t xml:space="preserve">. The results of the </w:t>
      </w:r>
      <w:r w:rsidR="009006DC">
        <w:rPr>
          <w:rFonts w:ascii="Times New Roman" w:hAnsi="Times New Roman" w:cs="Times New Roman"/>
        </w:rPr>
        <w:t>test are examined in a gel reader</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"10.4103/1947-2714.100998", "ISSN" : "1947-2714", "PMID" : "23050259", "abstract" : "Western blotting is an important technique used in cell and molecular biology. By using a western blot, researchers are able to identify specific proteins from a complex mixture of proteins extracted from cells. The technique uses three elements to accomplish this task: (1) separation by size, (2) transfer to a solid support, and (3) marking target protein using a proper primary and secondary antibody to visualize. This paper will attempt to explain the technique and theory behind western blot, and offer some ways to troubleshoot.", "author" : [ { "dropping-particle" : "", "family" : "Mahmood", "given" : "Tahrin", "non-dropping-particle" : "", "parse-names" : false, "suffix" : "" }, { "dropping-particle" : "", "family" : "Yang", "given" : "Ping-Chang", "non-dropping-particle" : "", "parse-names" : false, "suffix" : "" } ], "container-title" : "North American journal of medical sciences", "id" : "ITEM-1", "issue" : "9", "issued" : { "date-parts" : [ [ "2012", "9" ] ] }, "page" : "429-34", "publisher" : "Wolters Kluwer -- Medknow Publications", "title" : "Western blot: technique, theory, and trouble shooting.", "type" : "article-journal", "volume" : "4" }, "uris" : [ "http://www.mendeley.com/documents/?uuid=9ddb3543-f6f6-3371-86ce-73b2679fadf1" ] } ], "mendeley" : { "formattedCitation" : "(Mahmood &amp; Yang, 2012)", "plainTextFormattedCitation" : "(Mahmood &amp; Yang, 2012)", "previouslyFormattedCitation" : "(Mahmood &amp; Yang, 2012)" }, "properties" : {  }, "schema" : "https://github.com/citation-style-language/schema/raw/master/csl-citation.json" }</w:instrText>
      </w:r>
      <w:r>
        <w:rPr>
          <w:rFonts w:ascii="Times New Roman" w:hAnsi="Times New Roman" w:cs="Times New Roman"/>
        </w:rPr>
        <w:fldChar w:fldCharType="separate"/>
      </w:r>
      <w:r w:rsidRPr="00CE3F56">
        <w:rPr>
          <w:rFonts w:ascii="Times New Roman" w:hAnsi="Times New Roman" w:cs="Times New Roman"/>
          <w:noProof/>
        </w:rPr>
        <w:t>(Mahmood &amp; Yang, 2012)</w:t>
      </w:r>
      <w:r>
        <w:rPr>
          <w:rFonts w:ascii="Times New Roman" w:hAnsi="Times New Roman" w:cs="Times New Roman"/>
        </w:rPr>
        <w:fldChar w:fldCharType="end"/>
      </w:r>
      <w:r>
        <w:rPr>
          <w:rFonts w:ascii="Times New Roman" w:hAnsi="Times New Roman" w:cs="Times New Roman"/>
        </w:rPr>
        <w:t xml:space="preserve">.  </w:t>
      </w:r>
    </w:p>
    <w:p w14:paraId="390DD126" w14:textId="77777777" w:rsidR="007013F6" w:rsidRDefault="007013F6" w:rsidP="007013F6">
      <w:pPr>
        <w:spacing w:after="0" w:line="480" w:lineRule="auto"/>
        <w:ind w:firstLine="720"/>
        <w:jc w:val="both"/>
        <w:rPr>
          <w:rFonts w:ascii="Times New Roman" w:hAnsi="Times New Roman" w:cs="Times New Roman"/>
        </w:rPr>
      </w:pPr>
    </w:p>
    <w:p w14:paraId="621D7160" w14:textId="77777777" w:rsidR="007013F6" w:rsidRDefault="007013F6" w:rsidP="007013F6">
      <w:pPr>
        <w:spacing w:after="0" w:line="480" w:lineRule="auto"/>
        <w:ind w:firstLine="720"/>
        <w:jc w:val="both"/>
        <w:rPr>
          <w:rFonts w:ascii="Times New Roman" w:hAnsi="Times New Roman" w:cs="Times New Roman"/>
        </w:rPr>
      </w:pPr>
      <w:r w:rsidRPr="008566E9">
        <w:rPr>
          <w:rFonts w:ascii="Times New Roman" w:hAnsi="Times New Roman" w:cs="Times New Roman"/>
          <w:noProof/>
        </w:rPr>
        <w:drawing>
          <wp:inline distT="0" distB="0" distL="0" distR="0" wp14:anchorId="624888F3" wp14:editId="13BAAFB7">
            <wp:extent cx="4678680" cy="1722120"/>
            <wp:effectExtent l="0" t="0" r="0" b="0"/>
            <wp:docPr id="6" name="Picture 1">
              <a:extLst xmlns:a="http://schemas.openxmlformats.org/drawingml/2006/main">
                <a:ext uri="{FF2B5EF4-FFF2-40B4-BE49-F238E27FC236}">
                  <a16:creationId xmlns:a16="http://schemas.microsoft.com/office/drawing/2014/main" id="{95C958F9-7F5E-4551-A76E-8349EA206B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C958F9-7F5E-4551-A76E-8349EA206B42}"/>
                        </a:ext>
                      </a:extLst>
                    </pic:cNvPr>
                    <pic:cNvPicPr>
                      <a:picLocks noChangeAspect="1"/>
                    </pic:cNvPicPr>
                  </pic:nvPicPr>
                  <pic:blipFill>
                    <a:blip r:embed="rId9"/>
                    <a:stretch>
                      <a:fillRect/>
                    </a:stretch>
                  </pic:blipFill>
                  <pic:spPr>
                    <a:xfrm>
                      <a:off x="0" y="0"/>
                      <a:ext cx="4678680" cy="1722120"/>
                    </a:xfrm>
                    <a:prstGeom prst="rect">
                      <a:avLst/>
                    </a:prstGeom>
                  </pic:spPr>
                </pic:pic>
              </a:graphicData>
            </a:graphic>
          </wp:inline>
        </w:drawing>
      </w:r>
    </w:p>
    <w:p w14:paraId="1E935029" w14:textId="77777777" w:rsidR="007013F6" w:rsidRPr="00B20C9E" w:rsidRDefault="007013F6" w:rsidP="007013F6">
      <w:pPr>
        <w:spacing w:after="0" w:line="480" w:lineRule="auto"/>
        <w:ind w:firstLine="720"/>
        <w:jc w:val="both"/>
        <w:rPr>
          <w:rFonts w:ascii="Times New Roman" w:hAnsi="Times New Roman" w:cs="Times New Roman"/>
        </w:rPr>
      </w:pPr>
      <w:r w:rsidRPr="00B20C9E">
        <w:rPr>
          <w:rFonts w:ascii="Times New Roman" w:hAnsi="Times New Roman" w:cs="Times New Roman"/>
        </w:rPr>
        <w:t>Next, I propose to test these mice in a mouse model of airway hyperresponsiveness (AHR). This is a mouse asthma model. To do this, first house dust mite (HDM) extract is intranasally administered daily for ten days with two, two-day breaks</w:t>
      </w:r>
      <w:r>
        <w:rPr>
          <w:rFonts w:ascii="Times New Roman" w:hAnsi="Times New Roman" w:cs="Times New Roman"/>
        </w:rPr>
        <w:t xml:space="preserve"> (fig 2.).</w:t>
      </w:r>
      <w:r w:rsidRPr="00B20C9E">
        <w:rPr>
          <w:rFonts w:ascii="Times New Roman" w:hAnsi="Times New Roman" w:cs="Times New Roman"/>
        </w:rPr>
        <w:t xml:space="preserve"> These mice will be our experimental mice and will be exposed to the allergen for 10 days before the experiment is over. Then, mice are subjected to a Flexivent apparatus that measures the responsiveness of the airway to methacholine</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"http://www.scireq.com/flexivent", "accessed" : { "date-parts" : [ [ "2017", "11", "23" ] ] }, "id" : "ITEM-1", "issued" : { "date-parts" : [ [ "0" ] ] }, "title" : "flexiVent | SCIREQ", "type" : "webpage" }, "uris" : [ "http://www.mendeley.com/documents/?uuid=a96c6ecb-dd48-3351-80de-cd8b1c1a0366" ] } ], "mendeley" : { "formattedCitation" : "(\u201cflexiVent | SCIREQ,\u201d n.d.)", "plainTextFormattedCitation" : "(\u201cflexiVent | SCIREQ,\u201d n.d.)", "previouslyFormattedCitation" : "(\u201cflexiVent | SCIREQ,\u201d n.d.)"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(“flexiVent | SCIREQ,” n.d.)</w:t>
      </w:r>
      <w:r w:rsidRPr="00B20C9E">
        <w:rPr>
          <w:rFonts w:ascii="Times New Roman" w:hAnsi="Times New Roman" w:cs="Times New Roman"/>
        </w:rPr>
        <w:fldChar w:fldCharType="end"/>
      </w:r>
      <w:r w:rsidRPr="00B20C9E">
        <w:rPr>
          <w:rFonts w:ascii="Times New Roman" w:hAnsi="Times New Roman" w:cs="Times New Roman"/>
        </w:rPr>
        <w:t xml:space="preserve">. Methacholine is a drug which is used to diagnose bronchial hyperreactivity, through the bronchial challenge test. The drugs introduction results in bronchoconstriction and if the mice display a pre-existing hyperreactive airway, such as asthma, a lower dose of the methacholine is needed to stimulate a response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"https://www.drugbank.ca/drugs/DB06709", "container-title" : "Drug Bank ", "id" : "ITEM-1", "issued" : { "date-parts" : [ [ "2010" ] ] }, "title" : "Methacholine", "type" : "webpage" }, "uris" : [ "http://www.mendeley.com/documents/?uuid=08b580f5-b560-3b4a-bc6f-cbf1235c0e51" ] } ], "mendeley" : { "formattedCitation" : "(\u201cMethacholine,\u201d 2010)", "plainTextFormattedCitation" : "(\u201cMethacholine,\u201d 2010)", "previouslyFormattedCitation" : "(\u201cMethacholine,\u201d 2010)"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(“Methacholine,” 2010)</w:t>
      </w:r>
      <w:r w:rsidRPr="00B20C9E">
        <w:rPr>
          <w:rFonts w:ascii="Times New Roman" w:hAnsi="Times New Roman" w:cs="Times New Roman"/>
        </w:rPr>
        <w:fldChar w:fldCharType="end"/>
      </w:r>
      <w:r w:rsidRPr="00B20C9E">
        <w:rPr>
          <w:rFonts w:ascii="Times New Roman" w:hAnsi="Times New Roman" w:cs="Times New Roman"/>
        </w:rPr>
        <w:t xml:space="preserve">. I propose airway resistance will be examined at increasing doses of methacholine </w:t>
      </w:r>
      <w:r w:rsidRPr="00B20C9E">
        <w:rPr>
          <w:rFonts w:ascii="Times New Roman" w:hAnsi="Times New Roman" w:cs="Times New Roman"/>
        </w:rPr>
        <w:lastRenderedPageBreak/>
        <w:t>(2.5,5,10, 12.5,25, 50, and 100 mg/mL). This procedure can tell if the mice have developed restricted airways in the model or not, as compared to control mice that have not had furin deleted from B cells, as well as to saline controls. In previous studies, ADAM10 inhibition significantly alleviated airway hyperreactivity proposing that increased ADAM10 activity may be a predisposing factor to allergic disease</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"10.1371/journal.pone.0124331", "ISSN" : "1932-6203", "PMID" : "25933166", "abstract" : "ADAM10, as the sheddase of the low affinity IgE receptor (CD23), promotes IgE production and thus is a unique target for attenuating allergic disease. Herein, we describe that B cell levels of ADAM10, specifically, are increased in allergic patients and Th2 prone WT mouse strains (Balb/c and A/J). While T cell help augments ADAM10 expression, Balb WT B cells exhibit increased ADAM10 in the na\u00efve state and even more dramatically increased ADAM10 after anti-CD40/IL4 stimulation compared C57 (Th1 prone) WT B cells. Furthermore, ADAM17 and TNF are reduced in allergic patients and Th2 prone mouse strains (Balb/c and A/J) compared to Th1 prone controls. To further understand this regulation, ADAM17 and TNF were studied in C57Bl/6 and Balb/c mice deficient in ADAM10. C57-ADAM10B-/- were more adept at increasing ADAM17 levels and thus TNF cleavage resulting in excess follicular TNF levels and abnormal secondary lymphoid tissue architecture not noted in Balb-ADAM10B-/-. Moreover, the level of B cell ADAM10 as well as Th context is critical for determining IgE production potential. Using a murine house dust mite airway hypersensitivity model, we describe that high B cell ADAM10 level in a Th2 context (Balb/c WT) is optimal for disease induction including bronchoconstriction, goblet cell metaplasia, mucus, inflammatory cellular infiltration, and IgE production. Balb/c mice deficient in B cell ADAM10 have attenuated lung and airway symptoms compared to Balb WT and are actually most similar to C57 WT (Th1 prone). C57-ADAM10B-/- have even further reduced symptomology. Taken together, it is critical to consider both innate B cell levels of ADAM10 and ADAM17 as well as Th context when determining host susceptibility to allergic disease. High B cell ADAM10 and low ADAM17 levels would help diagnostically in predicting Th2 disease susceptibility; and, we provide support for the use ADAM10 inhibitors in treating Th2 disease.", "author" : [ { "dropping-particle" : "", "family" : "Cooley", "given" : "Lauren Folgosa", "non-dropping-particle" : "", "parse-names" : false, "suffix" : "" }, { "dropping-particle" : "", "family" : "Martin", "given" : "Rebecca K", "non-dropping-particle" : "", "parse-names" : false, "suffix" : "" }, { "dropping-particle" : "", "family" : "Zellner", "given" : "Hannah B", "non-dropping-particle" : "", "parse-names" : false, "suffix" : "" }, { "dropping-particle" : "", "family" : "Irani", "given" : "Anne-Marie", "non-dropping-particle" : "", "parse-names" : false, "suffix" : "" }, { "dropping-particle" : "", "family" : "Uram-Tuculescu", "given" : "Cora", "non-dropping-particle" : "", "parse-names" : false, "suffix" : "" }, { "dropping-particle" : "", "family" : "Shikh", "given" : "Mohey Eldin", "non-dropping-particle" : "El", "parse-names" : false, "suffix" : "" }, { "dropping-particle" : "", "family" : "Conrad", "given" : "Daniel H", "non-dropping-particle" : "", "parse-names" : false, "suffix" : "" } ], "container-title" : "PloS one", "id" : "ITEM-1", "issue" : "5", "issued" : { "date-parts" : [ [ "2015" ] ] }, "page" : "e0124331", "publisher" : "Public Library of Science", "title" : "Increased B Cell ADAM10 in Allergic Patients and Th2 Prone Mice.", "type" : "article-journal", "volume" : "10" }, "uris" : [ "http://www.mendeley.com/documents/?uuid=c4e58568-e4fa-351b-8074-6c9bf224ec02" ] } ], "mendeley" : { "formattedCitation" : "(Cooley et al., 2015)", "plainTextFormattedCitation" : "(Cooley et al., 2015)", "previouslyFormattedCitation" : "(Cooley et al., 2015)"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(Cooley et al., 2015)</w:t>
      </w:r>
      <w:r w:rsidRPr="00B20C9E">
        <w:rPr>
          <w:rFonts w:ascii="Times New Roman" w:hAnsi="Times New Roman" w:cs="Times New Roman"/>
        </w:rPr>
        <w:fldChar w:fldCharType="end"/>
      </w:r>
      <w:r w:rsidRPr="00B20C9E">
        <w:rPr>
          <w:rFonts w:ascii="Times New Roman" w:hAnsi="Times New Roman" w:cs="Times New Roman"/>
        </w:rPr>
        <w:t xml:space="preserve">.  </w:t>
      </w:r>
    </w:p>
    <w:p w14:paraId="1476F809" w14:textId="77777777" w:rsidR="007013F6" w:rsidRPr="00B20C9E" w:rsidRDefault="007013F6" w:rsidP="007013F6">
      <w:pPr>
        <w:spacing w:after="0" w:line="480" w:lineRule="auto"/>
        <w:ind w:firstLine="720"/>
        <w:jc w:val="both"/>
        <w:rPr>
          <w:rFonts w:ascii="Times New Roman" w:hAnsi="Times New Roman" w:cs="Times New Roman"/>
        </w:rPr>
      </w:pPr>
      <w:r w:rsidRPr="00B20C9E">
        <w:rPr>
          <w:rFonts w:ascii="Times New Roman" w:hAnsi="Times New Roman" w:cs="Times New Roman"/>
        </w:rPr>
        <w:t xml:space="preserve">At the end of the 14-day experiment and the Flexivent procedure, lungs will be removed from the mice after euthanasia and histology will be performed to measure the cell infiltration (with hematoxylin and eosin staining) into airways and also the mucus production (with Periodic acid-Schiff)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"https://bitesizebio.com/13413/why-pick-pas-for-histology/", "accessed" : { "date-parts" : [ [ "2017", "11", "25" ] ] }, "id" : "ITEM-1", "issued" : { "date-parts" : [ [ "0" ] ] }, "title" : "Why Pick PAS for Histology? - Bitesize Bio", "type" : "webpage" }, "uris" : [ "http://www.mendeley.com/documents/?uuid=0f690dcc-629d-3676-bc4c-11703c15cb6f" ] } ], "mendeley" : { "formattedCitation" : "(\u201cWhy Pick PAS for Histology? - Bitesize Bio,\u201d n.d.)", "plainTextFormattedCitation" : "(\u201cWhy Pick PAS for Histology? - Bitesize Bio,\u201d n.d.)", "previouslyFormattedCitation" : "(\u201cWhy Pick PAS for Histology? - Bitesize Bio,\u201d n.d.)"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(“Why Pick PAS for Histology? - Bitesize Bio,” n.d.)</w:t>
      </w:r>
      <w:r w:rsidRPr="00B20C9E">
        <w:rPr>
          <w:rFonts w:ascii="Times New Roman" w:hAnsi="Times New Roman" w:cs="Times New Roman"/>
        </w:rPr>
        <w:fldChar w:fldCharType="end"/>
      </w:r>
      <w:r w:rsidRPr="00B20C9E">
        <w:rPr>
          <w:rFonts w:ascii="Times New Roman" w:hAnsi="Times New Roman" w:cs="Times New Roman"/>
        </w:rPr>
        <w:t>. Both of these are good indicators of asthma in mice and humans. In addition, spleens will be removed and ICOSL levels will be examined by flow cytometry on B cells and ICOS levels on T cells. This will support the mechanism.</w:t>
      </w:r>
    </w:p>
    <w:p w14:paraId="33161B28" w14:textId="77777777" w:rsidR="007013F6" w:rsidRPr="00B20C9E" w:rsidRDefault="007013F6" w:rsidP="007013F6">
      <w:pPr>
        <w:spacing w:after="0" w:line="480" w:lineRule="auto"/>
        <w:rPr>
          <w:rFonts w:ascii="Times New Roman" w:hAnsi="Times New Roman" w:cs="Times New Roman"/>
        </w:rPr>
      </w:pPr>
    </w:p>
    <w:p w14:paraId="721C959C" w14:textId="77777777" w:rsidR="007013F6" w:rsidRPr="00B20C9E" w:rsidRDefault="007013F6" w:rsidP="007013F6">
      <w:pPr>
        <w:spacing w:after="0" w:line="480" w:lineRule="auto"/>
        <w:jc w:val="both"/>
        <w:rPr>
          <w:rFonts w:ascii="Times New Roman" w:hAnsi="Times New Roman" w:cs="Times New Roman"/>
          <w:b/>
          <w:u w:val="single"/>
        </w:rPr>
      </w:pPr>
      <w:r w:rsidRPr="00B20C9E">
        <w:rPr>
          <w:rFonts w:ascii="Times New Roman" w:hAnsi="Times New Roman" w:cs="Times New Roman"/>
          <w:b/>
          <w:u w:val="single"/>
        </w:rPr>
        <w:t>Discussion</w:t>
      </w:r>
      <w:r>
        <w:rPr>
          <w:rFonts w:ascii="Times New Roman" w:hAnsi="Times New Roman" w:cs="Times New Roman"/>
          <w:b/>
          <w:u w:val="single"/>
        </w:rPr>
        <w:t xml:space="preserve"> </w:t>
      </w:r>
    </w:p>
    <w:p w14:paraId="4DA477D5" w14:textId="77777777" w:rsidR="007013F6" w:rsidRPr="00B20C9E" w:rsidRDefault="007013F6" w:rsidP="007013F6">
      <w:pPr>
        <w:spacing w:after="0" w:line="480" w:lineRule="auto"/>
        <w:jc w:val="both"/>
        <w:rPr>
          <w:rFonts w:ascii="Times New Roman" w:hAnsi="Times New Roman" w:cs="Times New Roman"/>
        </w:rPr>
      </w:pPr>
      <w:r>
        <w:rPr>
          <w:rFonts w:ascii="Times New Roman" w:hAnsi="Times New Roman" w:cs="Times New Roman"/>
        </w:rPr>
        <w:tab/>
        <w:t>The hypothesized result is</w:t>
      </w:r>
      <w:r w:rsidRPr="00B20C9E">
        <w:rPr>
          <w:rFonts w:ascii="Times New Roman" w:hAnsi="Times New Roman" w:cs="Times New Roman"/>
        </w:rPr>
        <w:t xml:space="preserve"> that inhibiting furin will lead to a less severe allergic response. Compelling evidence suggests that suppressing ADAM10 will alleviate airway hyperactivity. Though the effects of ADAM10 are well known, PC7 is also a large factor that comes into play when studying allergies. PC7 has been found to cleave the prodomain of enough ADAM10 without involvement of furin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"0892-6638", "PMID" : "11481247", "author" : [ { "dropping-particle" : "", "family" : "Anders", "given" : "A", "non-dropping-particle" : "", "parse-names" : false, "suffix" : "" }, { "dropping-particle" : "", "family" : "Gilbert", "given" : "S", "non-dropping-particle" : "", "parse-names" : false, "suffix" : "" }, { "dropping-particle" : "", "family" : "Garten", "given" : "W", "non-dropping-particle" : "", "parse-names" : false, "suffix" : "" }, { "dropping-particle" : "", "family" : "Postina", "given" : "R", "non-dropping-particle" : "", "parse-names" : false, "suffix" : "" }, { "dropping-particle" : "", "family" : "Fahrenholz", "given" : "F", "non-dropping-particle" : "", "parse-names" : false, "suffix" : "" } ], "container-title" : "FASEB journal : official publication of the Federation of American Societies for Experimental Biology", "id" : "ITEM-1", "issue" : "10", "issued" : { "date-parts" : [ [ "2001", "8" ] ] }, "page" : "1837-9", "title" : "Regulation of the alpha-secretase ADAM10 by its prodomain and proprotein convertases.", "type" : "article-journal", "volume" : "15" }, "uris" : [ "http://www.mendeley.com/documents/?uuid=216c6800-5175-3f41-906b-7ececdb28a1d" ] } ], "mendeley" : { "formattedCitation" : "(Anders et al., 2001)", "plainTextFormattedCitation" : "(Anders et al., 2001)", "previouslyFormattedCitation" : "(Anders et al., 2001)"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(Anders et al., 2001)</w:t>
      </w:r>
      <w:r w:rsidRPr="00B20C9E">
        <w:rPr>
          <w:rFonts w:ascii="Times New Roman" w:hAnsi="Times New Roman" w:cs="Times New Roman"/>
        </w:rPr>
        <w:fldChar w:fldCharType="end"/>
      </w:r>
      <w:r w:rsidRPr="00B20C9E">
        <w:rPr>
          <w:rFonts w:ascii="Times New Roman" w:hAnsi="Times New Roman" w:cs="Times New Roman"/>
        </w:rPr>
        <w:t xml:space="preserve">. With this in mind, the inhibition of furin may not have a large enough impact on ADAM10 to display the effects of asthma, though the studies may prove otherwise as the effects of furin inhibition have not been tested on ICOS/ICOL. Future experimentation with the inhibition of furin and PC7 may lead to interesting results. </w:t>
      </w:r>
    </w:p>
    <w:p w14:paraId="39961174" w14:textId="77777777" w:rsidR="007013F6" w:rsidRPr="00B20C9E" w:rsidRDefault="007013F6" w:rsidP="007013F6">
      <w:pPr>
        <w:spacing w:after="0" w:line="480" w:lineRule="auto"/>
        <w:ind w:firstLine="720"/>
        <w:rPr>
          <w:rFonts w:ascii="Times New Roman" w:hAnsi="Times New Roman" w:cs="Times New Roman"/>
        </w:rPr>
      </w:pPr>
      <w:r w:rsidRPr="00B20C9E">
        <w:rPr>
          <w:rFonts w:ascii="Times New Roman" w:hAnsi="Times New Roman" w:cs="Times New Roman"/>
        </w:rPr>
        <w:t>The ICOS/ICOSL response will also be one of the main focuses for this experiment. Recent studies have shown that a deficiency of ICOS or ICOSL terminates T-dependent humoral immune responses. ADAM10 was found to be a relevant ICOSL sheddase and was found to increase ICOSL levels when not present in B cells. This also leads to an increase in B cell ICOSL levels which results in downregulation of T cell ICOS. Increased ICOSL leads us to enhanced T</w:t>
      </w:r>
      <w:r w:rsidRPr="00B20C9E">
        <w:rPr>
          <w:rFonts w:ascii="Times New Roman" w:hAnsi="Times New Roman" w:cs="Times New Roman"/>
          <w:vertAlign w:val="subscript"/>
        </w:rPr>
        <w:t>H</w:t>
      </w:r>
      <w:r w:rsidRPr="00B20C9E">
        <w:rPr>
          <w:rFonts w:ascii="Times New Roman" w:hAnsi="Times New Roman" w:cs="Times New Roman"/>
        </w:rPr>
        <w:t>1 and T</w:t>
      </w:r>
      <w:r w:rsidRPr="00B20C9E">
        <w:rPr>
          <w:rFonts w:ascii="Times New Roman" w:hAnsi="Times New Roman" w:cs="Times New Roman"/>
          <w:vertAlign w:val="subscript"/>
        </w:rPr>
        <w:t>H</w:t>
      </w:r>
      <w:r w:rsidRPr="00B20C9E">
        <w:rPr>
          <w:rFonts w:ascii="Times New Roman" w:hAnsi="Times New Roman" w:cs="Times New Roman"/>
        </w:rPr>
        <w:t xml:space="preserve">17 cell activation. </w:t>
      </w:r>
      <w:r w:rsidRPr="00B20C9E">
        <w:rPr>
          <w:rFonts w:ascii="Times New Roman" w:hAnsi="Times New Roman" w:cs="Times New Roman"/>
        </w:rPr>
        <w:lastRenderedPageBreak/>
        <w:t xml:space="preserve">Shedding of ICOSL is necessary for proper T cell responses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"10.4049/jimmunol.1700833", "ISSN" : "1550-6606", "PMID" : "28814605", "abstract" : "The proper regulation of ICOS and ICOS ligand (ICOSL) has been shown to be essential for maintaining proper immune homeostasis. Loss of either protein results in defective humoral immunity, and overexpression of ICOS results in aberrant Ab production resembling lupus. How ICOSL is regulated in response to ICOS interaction is still unclear. We demonstrate that a disintegrin and metalloproteinase (ADAM)10 is the primary physiological sheddase of ICOSL in mice and humans. Using an in vivo system in which ADAM10 is deleted only on B cells, elevated levels of ICOSL were seen. This increase is also seen when ADAM10 is deleted from human B cell lines. Identification of the primary sheddase has allowed the characterization of a novel mechanism of ICOS regulation. In wild-type mice, interaction of ICOS/ICOSL results in ADAM10-induced shedding of ICOSL on B cells and moderate ICOS internalization on T cells. When this shedding is blocked, excessive ICOS internalization occurs. This results in severe defects in T follicular helper development and TH2 polarization, as seen in a house dust mite exposure model. In addition, enhanced TH1 and TH17 immune responses are seen in experimental autoimmune encephalomyelitis. Blockade of ICOSL rescues T cell ICOS surface expression and rescues, at least in part, T follicular helper numbers and the abnormal Ab production previously reported in these mice. Overall, we propose a novel regulation of the ICOS/ICOSL axis, with ADAM10 playing a direct role in regulating ICOSL, as well as indirectly regulating ICOS, thus controlling ICOS/ICOSL-dependent responses.", "author" : [ { "dropping-particle" : "", "family" : "Lownik", "given" : "Joseph C", "non-dropping-particle" : "", "parse-names" : false, "suffix" : "" }, { "dropping-particle" : "", "family" : "Luker", "given" : "Andrea J", "non-dropping-particle" : "", "parse-names" : false, "suffix" : "" }, { "dropping-particle" : "", "family" : "Damle", "given" : "Sheela R", "non-dropping-particle" : "", "parse-names" : false, "suffix" : "" }, { "dropping-particle" : "", "family" : "Cooley", "given" : "Lauren Folgosa", "non-dropping-particle" : "", "parse-names" : false, "suffix" : "" }, { "dropping-particle" : "", "family" : "Sayed", "given" : "Riham", "non-dropping-particle" : "El", "parse-names" : false, "suffix" : "" }, { "dropping-particle" : "", "family" : "Hutloff", "given" : "Andreas", "non-dropping-particle" : "", "parse-names" : false, "suffix" : "" }, { "dropping-particle" : "", "family" : "Pitzalis", "given" : "Costantino", "non-dropping-particle" : "", "parse-names" : false, "suffix" : "" }, { "dropping-particle" : "", "family" : "Martin", "given" : "Rebecca K", "non-dropping-particle" : "", "parse-names" : false, "suffix" : "" }, { "dropping-particle" : "", "family" : "Shikh", "given" : "Mohey Eldin M", "non-dropping-particle" : "El", "parse-names" : false, "suffix" : "" }, { "dropping-particle" : "", "family" : "Conrad", "given" : "Daniel H", "non-dropping-particle" : "", "parse-names" : false, "suffix" : "" } ], "container-title" : "Journal of immunology (Baltimore, Md. : 1950)", "id" : "ITEM-1", "issue" : "7", "issued" : { "date-parts" : [ [ "2017", "10", "1" ] ] }, "page" : "2305-2315", "publisher" : "American Association of Immunologists", "title" : "ADAM10-Mediated ICOS Ligand Shedding on B Cells Is Necessary for Proper T Cell ICOS Regulation and T Follicular Helper Responses.", "type" : "article-journal", "volume" : "199" }, "uris" : [ "http://www.mendeley.com/documents/?uuid=c44f6e52-b8aa-36f4-a191-2880341fd892" ] } ], "mendeley" : { "formattedCitation" : "(Joseph C Lownik et al., 2017)", "plainTextFormattedCitation" : "(Joseph C Lownik et al., 2017)", "previouslyFormattedCitation" : "(Joseph C Lownik et al., 2017)"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(Joseph C Lownik et al., 2017)</w:t>
      </w:r>
      <w:r w:rsidRPr="00B20C9E">
        <w:rPr>
          <w:rFonts w:ascii="Times New Roman" w:hAnsi="Times New Roman" w:cs="Times New Roman"/>
        </w:rPr>
        <w:fldChar w:fldCharType="end"/>
      </w:r>
      <w:r w:rsidRPr="00B20C9E">
        <w:rPr>
          <w:rFonts w:ascii="Times New Roman" w:hAnsi="Times New Roman" w:cs="Times New Roman"/>
        </w:rPr>
        <w:t xml:space="preserve">. I hypothesize that the inhibition of furin will lead to a similar regulation of ICOSL if sufficient amounts of ADAM10 remain inactivated. </w:t>
      </w:r>
    </w:p>
    <w:p w14:paraId="4D285845" w14:textId="77777777" w:rsidR="007013F6" w:rsidRDefault="007013F6" w:rsidP="007013F6">
      <w:pPr>
        <w:spacing w:after="0" w:line="480" w:lineRule="auto"/>
        <w:ind w:firstLine="720"/>
        <w:rPr>
          <w:rFonts w:ascii="Times New Roman" w:hAnsi="Times New Roman" w:cs="Times New Roman"/>
        </w:rPr>
      </w:pPr>
      <w:r w:rsidRPr="00B20C9E">
        <w:rPr>
          <w:rFonts w:ascii="Times New Roman" w:hAnsi="Times New Roman" w:cs="Times New Roman"/>
        </w:rPr>
        <w:t>Furin is responsible for the activation of the zymogen ADAM10, though not all ADAMS contain the consensus sequence for activation by furin. ADAM8 has recently been associated</w:t>
      </w:r>
      <w:r>
        <w:rPr>
          <w:rFonts w:ascii="Times New Roman" w:hAnsi="Times New Roman" w:cs="Times New Roman"/>
        </w:rPr>
        <w:t xml:space="preserve"> with</w:t>
      </w:r>
      <w:r w:rsidRPr="00B20C9E">
        <w:rPr>
          <w:rFonts w:ascii="Times New Roman" w:hAnsi="Times New Roman" w:cs="Times New Roman"/>
        </w:rPr>
        <w:t xml:space="preserve"> allergic airway inflammation. ADAM8 contains a non-perfect consensus cleavage sequence for furin, so even in high concentrations, furin inhibitors did not inhibit processing of ADAM8. ADAM8 levels have been found to be increased in airway inflammatory cells in mice and human asthma patients </w:t>
      </w:r>
      <w:r w:rsidRPr="00B20C9E">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"10.1517/14728220902889788", "ISSN" : "1744-7631", "PMID" : "19397475", "abstract" : "BACKGROUND A proteinase with a disintegrin and a metalloproteinase domain-8 (ADAM8) has been linked to asthma. OBJECTIVE To explore whether ADAM8 is a therapeutic target for asthma. METHODS We reviewed literature on ADAM8's function and expression and activities in lungs of humans and mice with allergic airway inflammation (AAI). We used these data to generate hypotheses about the contributions of ADAM8 to asthma pathogenesis. CONCLUSIONS ADAM8 levels are increased in airway epithelium and airway inflammatory cells in mice with AAI and human asthma patients. Data from murine models of AAI indicate that ADAM8 dampens airway inflammation. It is not clear whether ADAM8 contributes directly to structural remodeling in asthmatic airways. Additional studies are required to validate ADAM8 as a therapeutic target for asthma.", "author" : [ { "dropping-particle" : "", "family" : "Knolle", "given" : "Martin D", "non-dropping-particle" : "", "parse-names" : false, "suffix" : "" }, { "dropping-particle" : "", "family" : "Owen", "given" : "Caroline A", "non-dropping-particle" : "", "parse-names" : false, "suffix" : "" } ], "container-title" : "Expert opinion on therapeutic targets", "id" : "ITEM-1", "issue" : "5", "issued" : { "date-parts" : [ [ "2009", "5" ] ] }, "page" : "523-40", "publisher" : "NIH Public Access", "title" : "ADAM8: a new therapeutic target for asthma.", "type" : "article-journal", "volume" : "13" }, "uris" : [ "http://www.mendeley.com/documents/?uuid=b5c8f5a4-f6e5-3755-aa58-dafe0e4aafaa" ] } ], "mendeley" : { "formattedCitation" : "(Knolle &amp; Owen, 2009)", "plainTextFormattedCitation" : "(Knolle &amp; Owen, 2009)", "previouslyFormattedCitation" : "(Knolle &amp; Owen, 2009)" }, "properties" : {  }, "schema" : "https://github.com/citation-style-language/schema/raw/master/csl-citation.json" }</w:instrText>
      </w:r>
      <w:r w:rsidRPr="00B20C9E">
        <w:rPr>
          <w:rFonts w:ascii="Times New Roman" w:hAnsi="Times New Roman" w:cs="Times New Roman"/>
        </w:rPr>
        <w:fldChar w:fldCharType="separate"/>
      </w:r>
      <w:r w:rsidRPr="00B20C9E">
        <w:rPr>
          <w:rFonts w:ascii="Times New Roman" w:hAnsi="Times New Roman" w:cs="Times New Roman"/>
          <w:noProof/>
        </w:rPr>
        <w:t>(Knolle &amp; Owen, 2009)</w:t>
      </w:r>
      <w:r w:rsidRPr="00B20C9E">
        <w:rPr>
          <w:rFonts w:ascii="Times New Roman" w:hAnsi="Times New Roman" w:cs="Times New Roman"/>
        </w:rPr>
        <w:fldChar w:fldCharType="end"/>
      </w:r>
      <w:r w:rsidRPr="00B20C9E">
        <w:rPr>
          <w:rFonts w:ascii="Times New Roman" w:hAnsi="Times New Roman" w:cs="Times New Roman"/>
        </w:rPr>
        <w:t>. Although furin inhibition may lead to a decrease in ADAM10, ADAM8 is still a confounding variable that may have an unforeseen effect on inflammation.</w:t>
      </w:r>
    </w:p>
    <w:p w14:paraId="1FCF33B3" w14:textId="77777777" w:rsidR="007013F6" w:rsidRDefault="007013F6" w:rsidP="007013F6">
      <w:pPr>
        <w:spacing w:after="0" w:line="240" w:lineRule="auto"/>
        <w:ind w:firstLine="720"/>
        <w:rPr>
          <w:rFonts w:ascii="Times New Roman" w:hAnsi="Times New Roman" w:cs="Times New Roman"/>
        </w:rPr>
      </w:pPr>
    </w:p>
    <w:p w14:paraId="6AFF0B54" w14:textId="77777777" w:rsidR="007013F6" w:rsidRDefault="007013F6" w:rsidP="007013F6">
      <w:pPr>
        <w:spacing w:after="0" w:line="240" w:lineRule="auto"/>
        <w:ind w:firstLine="720"/>
        <w:rPr>
          <w:rFonts w:ascii="Times New Roman" w:hAnsi="Times New Roman" w:cs="Times New Roman"/>
        </w:rPr>
      </w:pPr>
    </w:p>
    <w:p w14:paraId="55628349" w14:textId="77777777" w:rsidR="007013F6" w:rsidRDefault="007013F6" w:rsidP="007013F6">
      <w:pPr>
        <w:spacing w:after="0" w:line="240" w:lineRule="auto"/>
        <w:ind w:firstLine="720"/>
        <w:rPr>
          <w:rFonts w:ascii="Times New Roman" w:hAnsi="Times New Roman" w:cs="Times New Roman"/>
        </w:rPr>
      </w:pPr>
      <w:r>
        <w:rPr>
          <w:rFonts w:ascii="Times New Roman" w:hAnsi="Times New Roman" w:cs="Times New Roman"/>
        </w:rPr>
        <w:t xml:space="preserve">  </w:t>
      </w:r>
    </w:p>
    <w:p w14:paraId="3F536568" w14:textId="77777777" w:rsidR="007013F6" w:rsidRDefault="007013F6" w:rsidP="007013F6">
      <w:pPr>
        <w:spacing w:after="0" w:line="240" w:lineRule="auto"/>
        <w:ind w:firstLine="720"/>
        <w:jc w:val="both"/>
        <w:rPr>
          <w:rFonts w:ascii="Times New Roman" w:hAnsi="Times New Roman" w:cs="Times New Roman"/>
        </w:rPr>
      </w:pPr>
    </w:p>
    <w:p w14:paraId="7D66111B" w14:textId="77777777" w:rsidR="007013F6" w:rsidRDefault="007013F6" w:rsidP="007013F6">
      <w:pPr>
        <w:spacing w:after="0" w:line="240" w:lineRule="auto"/>
        <w:ind w:firstLine="720"/>
        <w:jc w:val="both"/>
        <w:rPr>
          <w:rFonts w:ascii="Times New Roman" w:hAnsi="Times New Roman" w:cs="Times New Roman"/>
        </w:rPr>
      </w:pPr>
    </w:p>
    <w:p w14:paraId="4FAB4034" w14:textId="77777777" w:rsidR="007013F6" w:rsidRDefault="007013F6" w:rsidP="007013F6">
      <w:pPr>
        <w:spacing w:after="0" w:line="240" w:lineRule="auto"/>
        <w:jc w:val="both"/>
        <w:rPr>
          <w:rFonts w:ascii="Times New Roman" w:hAnsi="Times New Roman" w:cs="Times New Roman"/>
        </w:rPr>
      </w:pPr>
    </w:p>
    <w:p w14:paraId="77CAED6B" w14:textId="77777777" w:rsidR="007013F6" w:rsidRDefault="007013F6" w:rsidP="007013F6">
      <w:pPr>
        <w:spacing w:after="0" w:line="240" w:lineRule="auto"/>
        <w:jc w:val="both"/>
        <w:rPr>
          <w:rFonts w:ascii="Times New Roman" w:hAnsi="Times New Roman" w:cs="Times New Roman"/>
        </w:rPr>
      </w:pPr>
    </w:p>
    <w:p w14:paraId="3F031C9B" w14:textId="77777777" w:rsidR="007013F6" w:rsidRDefault="007013F6" w:rsidP="007013F6">
      <w:pPr>
        <w:spacing w:after="0" w:line="240" w:lineRule="auto"/>
        <w:jc w:val="both"/>
        <w:rPr>
          <w:rFonts w:ascii="Times New Roman" w:hAnsi="Times New Roman" w:cs="Times New Roman"/>
        </w:rPr>
      </w:pPr>
    </w:p>
    <w:p w14:paraId="756D2E29" w14:textId="77777777" w:rsidR="007013F6" w:rsidRDefault="007013F6" w:rsidP="007013F6">
      <w:pPr>
        <w:spacing w:after="0" w:line="240" w:lineRule="auto"/>
        <w:jc w:val="both"/>
        <w:rPr>
          <w:rFonts w:ascii="Times New Roman" w:hAnsi="Times New Roman" w:cs="Times New Roman"/>
        </w:rPr>
      </w:pPr>
    </w:p>
    <w:p w14:paraId="7890E283" w14:textId="77777777" w:rsidR="007013F6" w:rsidRDefault="007013F6" w:rsidP="007013F6">
      <w:pPr>
        <w:spacing w:after="0" w:line="240" w:lineRule="auto"/>
        <w:jc w:val="both"/>
        <w:rPr>
          <w:rFonts w:ascii="Times New Roman" w:hAnsi="Times New Roman" w:cs="Times New Roman"/>
        </w:rPr>
      </w:pPr>
    </w:p>
    <w:p w14:paraId="694EB319" w14:textId="77777777" w:rsidR="007013F6" w:rsidRDefault="007013F6" w:rsidP="007013F6">
      <w:pPr>
        <w:spacing w:after="0" w:line="240" w:lineRule="auto"/>
        <w:jc w:val="both"/>
        <w:rPr>
          <w:rFonts w:ascii="Times New Roman" w:hAnsi="Times New Roman" w:cs="Times New Roman"/>
        </w:rPr>
      </w:pPr>
    </w:p>
    <w:p w14:paraId="0B39BB80" w14:textId="77777777" w:rsidR="007013F6" w:rsidRDefault="007013F6" w:rsidP="007013F6">
      <w:pPr>
        <w:spacing w:after="0" w:line="240" w:lineRule="auto"/>
        <w:jc w:val="both"/>
        <w:rPr>
          <w:rFonts w:ascii="Times New Roman" w:hAnsi="Times New Roman" w:cs="Times New Roman"/>
        </w:rPr>
      </w:pPr>
    </w:p>
    <w:p w14:paraId="40DAC2D1" w14:textId="77777777" w:rsidR="007013F6" w:rsidRDefault="007013F6" w:rsidP="007013F6">
      <w:pPr>
        <w:spacing w:after="0" w:line="240" w:lineRule="auto"/>
        <w:jc w:val="both"/>
        <w:rPr>
          <w:rFonts w:ascii="Times New Roman" w:hAnsi="Times New Roman" w:cs="Times New Roman"/>
        </w:rPr>
      </w:pPr>
    </w:p>
    <w:p w14:paraId="237090F0" w14:textId="77777777" w:rsidR="007013F6" w:rsidRDefault="007013F6" w:rsidP="007013F6">
      <w:pPr>
        <w:spacing w:after="0" w:line="240" w:lineRule="auto"/>
        <w:jc w:val="both"/>
        <w:rPr>
          <w:rFonts w:ascii="Times New Roman" w:hAnsi="Times New Roman" w:cs="Times New Roman"/>
        </w:rPr>
      </w:pPr>
    </w:p>
    <w:p w14:paraId="307505D4" w14:textId="77777777" w:rsidR="007013F6" w:rsidRDefault="007013F6" w:rsidP="007013F6">
      <w:pPr>
        <w:spacing w:after="0" w:line="240" w:lineRule="auto"/>
        <w:jc w:val="both"/>
        <w:rPr>
          <w:rFonts w:ascii="Times New Roman" w:hAnsi="Times New Roman" w:cs="Times New Roman"/>
        </w:rPr>
      </w:pPr>
    </w:p>
    <w:p w14:paraId="146D6A2A" w14:textId="77777777" w:rsidR="007013F6" w:rsidRDefault="007013F6" w:rsidP="007013F6">
      <w:pPr>
        <w:spacing w:after="0" w:line="240" w:lineRule="auto"/>
        <w:jc w:val="both"/>
        <w:rPr>
          <w:rFonts w:ascii="Times New Roman" w:hAnsi="Times New Roman" w:cs="Times New Roman"/>
        </w:rPr>
      </w:pPr>
    </w:p>
    <w:p w14:paraId="448E800F" w14:textId="77777777" w:rsidR="007013F6" w:rsidRDefault="007013F6" w:rsidP="007013F6">
      <w:pPr>
        <w:spacing w:after="0" w:line="240" w:lineRule="auto"/>
        <w:jc w:val="both"/>
        <w:rPr>
          <w:rFonts w:ascii="Times New Roman" w:hAnsi="Times New Roman" w:cs="Times New Roman"/>
        </w:rPr>
      </w:pPr>
    </w:p>
    <w:p w14:paraId="29D39F22" w14:textId="77777777" w:rsidR="007013F6" w:rsidRDefault="007013F6" w:rsidP="007013F6">
      <w:pPr>
        <w:spacing w:after="0" w:line="240" w:lineRule="auto"/>
        <w:jc w:val="both"/>
        <w:rPr>
          <w:rFonts w:ascii="Times New Roman" w:hAnsi="Times New Roman" w:cs="Times New Roman"/>
        </w:rPr>
      </w:pPr>
    </w:p>
    <w:p w14:paraId="368CB378" w14:textId="77777777" w:rsidR="007013F6" w:rsidRDefault="007013F6" w:rsidP="007013F6">
      <w:pPr>
        <w:spacing w:after="0" w:line="240" w:lineRule="auto"/>
        <w:jc w:val="both"/>
        <w:rPr>
          <w:rFonts w:ascii="Times New Roman" w:hAnsi="Times New Roman" w:cs="Times New Roman"/>
        </w:rPr>
      </w:pPr>
    </w:p>
    <w:p w14:paraId="4ECDCD72" w14:textId="77777777" w:rsidR="007013F6" w:rsidRDefault="007013F6" w:rsidP="007013F6">
      <w:pPr>
        <w:spacing w:after="0" w:line="240" w:lineRule="auto"/>
        <w:jc w:val="both"/>
        <w:rPr>
          <w:rFonts w:ascii="Times New Roman" w:hAnsi="Times New Roman" w:cs="Times New Roman"/>
        </w:rPr>
      </w:pPr>
    </w:p>
    <w:p w14:paraId="484F79DC" w14:textId="77777777" w:rsidR="007013F6" w:rsidRDefault="007013F6" w:rsidP="007013F6">
      <w:pPr>
        <w:spacing w:after="0" w:line="240" w:lineRule="auto"/>
        <w:jc w:val="both"/>
        <w:rPr>
          <w:rFonts w:ascii="Times New Roman" w:hAnsi="Times New Roman" w:cs="Times New Roman"/>
        </w:rPr>
      </w:pPr>
    </w:p>
    <w:p w14:paraId="2C02D8E5" w14:textId="77777777" w:rsidR="007013F6" w:rsidRDefault="007013F6" w:rsidP="007013F6">
      <w:pPr>
        <w:spacing w:after="0" w:line="240" w:lineRule="auto"/>
        <w:jc w:val="both"/>
        <w:rPr>
          <w:rFonts w:ascii="Times New Roman" w:hAnsi="Times New Roman" w:cs="Times New Roman"/>
        </w:rPr>
      </w:pPr>
    </w:p>
    <w:p w14:paraId="04479938" w14:textId="77777777" w:rsidR="007013F6" w:rsidRDefault="007013F6" w:rsidP="007013F6">
      <w:pPr>
        <w:spacing w:after="0" w:line="240" w:lineRule="auto"/>
        <w:jc w:val="both"/>
        <w:rPr>
          <w:rFonts w:ascii="Times New Roman" w:hAnsi="Times New Roman" w:cs="Times New Roman"/>
        </w:rPr>
      </w:pPr>
    </w:p>
    <w:p w14:paraId="49CDAC85" w14:textId="77777777" w:rsidR="007013F6" w:rsidRDefault="007013F6" w:rsidP="007013F6">
      <w:pPr>
        <w:spacing w:after="0" w:line="240" w:lineRule="auto"/>
        <w:jc w:val="both"/>
        <w:rPr>
          <w:rFonts w:ascii="Times New Roman" w:hAnsi="Times New Roman" w:cs="Times New Roman"/>
        </w:rPr>
      </w:pPr>
    </w:p>
    <w:p w14:paraId="7260467A" w14:textId="77777777" w:rsidR="007013F6" w:rsidRDefault="007013F6" w:rsidP="007013F6">
      <w:pPr>
        <w:spacing w:after="0" w:line="240" w:lineRule="auto"/>
        <w:jc w:val="both"/>
        <w:rPr>
          <w:rFonts w:ascii="Times New Roman" w:hAnsi="Times New Roman" w:cs="Times New Roman"/>
        </w:rPr>
      </w:pPr>
    </w:p>
    <w:p w14:paraId="727CA031" w14:textId="77777777" w:rsidR="007013F6" w:rsidRDefault="007013F6" w:rsidP="007013F6">
      <w:pPr>
        <w:spacing w:after="0" w:line="240" w:lineRule="auto"/>
        <w:jc w:val="both"/>
        <w:rPr>
          <w:rFonts w:ascii="Times New Roman" w:hAnsi="Times New Roman" w:cs="Times New Roman"/>
        </w:rPr>
      </w:pPr>
    </w:p>
    <w:p w14:paraId="321A6AF7" w14:textId="77777777" w:rsidR="007013F6" w:rsidRDefault="007013F6" w:rsidP="007013F6">
      <w:pPr>
        <w:spacing w:after="0" w:line="240" w:lineRule="auto"/>
        <w:jc w:val="both"/>
        <w:rPr>
          <w:rFonts w:ascii="Times New Roman" w:hAnsi="Times New Roman" w:cs="Times New Roman"/>
        </w:rPr>
      </w:pPr>
    </w:p>
    <w:p w14:paraId="3A86669D" w14:textId="77777777" w:rsidR="007013F6" w:rsidRDefault="007013F6" w:rsidP="007013F6">
      <w:pPr>
        <w:spacing w:after="0" w:line="240" w:lineRule="auto"/>
        <w:jc w:val="both"/>
        <w:rPr>
          <w:rFonts w:ascii="Times New Roman" w:hAnsi="Times New Roman" w:cs="Times New Roman"/>
        </w:rPr>
      </w:pPr>
    </w:p>
    <w:p w14:paraId="511B698E" w14:textId="77777777" w:rsidR="007013F6" w:rsidRDefault="007013F6" w:rsidP="007013F6">
      <w:pPr>
        <w:spacing w:after="0" w:line="240" w:lineRule="auto"/>
        <w:jc w:val="both"/>
        <w:rPr>
          <w:rFonts w:ascii="Times New Roman" w:hAnsi="Times New Roman" w:cs="Times New Roman"/>
        </w:rPr>
      </w:pPr>
    </w:p>
    <w:p w14:paraId="56BA3860" w14:textId="6A6393E6" w:rsidR="007013F6" w:rsidRDefault="007013F6" w:rsidP="00770534">
      <w:pPr>
        <w:rPr>
          <w:rFonts w:ascii="Times New Roman" w:hAnsi="Times New Roman" w:cs="Times New Roman"/>
          <w:b/>
          <w:sz w:val="48"/>
          <w:szCs w:val="48"/>
          <w:u w:val="single"/>
        </w:rPr>
      </w:pPr>
      <w:bookmarkStart w:id="0" w:name="_GoBack"/>
      <w:bookmarkEnd w:id="0"/>
    </w:p>
    <w:p w14:paraId="41118C06" w14:textId="77777777" w:rsidR="007013F6" w:rsidRDefault="007013F6" w:rsidP="007013F6">
      <w:pPr>
        <w:jc w:val="center"/>
        <w:rPr>
          <w:rFonts w:ascii="Times New Roman" w:hAnsi="Times New Roman" w:cs="Times New Roman"/>
          <w:b/>
          <w:sz w:val="48"/>
          <w:szCs w:val="48"/>
          <w:u w:val="single"/>
        </w:rPr>
      </w:pPr>
      <w:r w:rsidRPr="00845197">
        <w:rPr>
          <w:rFonts w:ascii="Times New Roman" w:hAnsi="Times New Roman" w:cs="Times New Roman"/>
          <w:b/>
          <w:sz w:val="48"/>
          <w:szCs w:val="48"/>
          <w:u w:val="single"/>
        </w:rPr>
        <w:lastRenderedPageBreak/>
        <w:t xml:space="preserve">References </w:t>
      </w:r>
    </w:p>
    <w:p w14:paraId="59359127"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Pr>
          <w:rFonts w:ascii="Times New Roman" w:hAnsi="Times New Roman" w:cs="Times New Roman"/>
        </w:rPr>
        <w:fldChar w:fldCharType="begin" w:fldLock="1"/>
      </w:r>
      <w:r w:rsidRPr="007418AE">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CE3F56">
        <w:rPr>
          <w:rFonts w:ascii="Times New Roman" w:hAnsi="Times New Roman" w:cs="Times New Roman"/>
          <w:noProof/>
          <w:szCs w:val="24"/>
        </w:rPr>
        <w:t>004126 - C.Cg-Cd19 Igh/J. (n.d.). Retrieved December 9, 2017, from https://www.jax.org/strain/004126</w:t>
      </w:r>
    </w:p>
    <w:p w14:paraId="770E703D"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A Max Juchheim. (2015). Plasmids 101: Cre-lox. Retrieved from http://blog.addgene.org/plasmids-101-cre-lox</w:t>
      </w:r>
    </w:p>
    <w:p w14:paraId="7FF4C3A6"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Alfred Pechisker. (n.d.). TARGETING YOUR DNA WITH THE CRE/LOX SYSTEM | SCQ. Retrieved December 9, 2017, from https://www.scq.ubc.ca/targeting-your-dna-with-the-crelox-system/</w:t>
      </w:r>
    </w:p>
    <w:p w14:paraId="6C02C24B"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Anders, A., Gilbert, S., Garten, W., Postina, R., &amp; Fahrenholz, F. (2001). Regulation of the alpha-secretase ADAM10 by its prodomain and proprotein convertases. </w:t>
      </w:r>
      <w:r w:rsidRPr="00CE3F56">
        <w:rPr>
          <w:rFonts w:ascii="Times New Roman" w:hAnsi="Times New Roman" w:cs="Times New Roman"/>
          <w:i/>
          <w:iCs/>
          <w:noProof/>
          <w:szCs w:val="24"/>
        </w:rPr>
        <w:t>FASEB Journal : Official Publication of the Federation of American Societies for Experimental Biology</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15</w:t>
      </w:r>
      <w:r w:rsidRPr="00CE3F56">
        <w:rPr>
          <w:rFonts w:ascii="Times New Roman" w:hAnsi="Times New Roman" w:cs="Times New Roman"/>
          <w:noProof/>
          <w:szCs w:val="24"/>
        </w:rPr>
        <w:t>(10), 1837–9. Retrieved from http://www.ncbi.nlm.nih.gov/pubmed/11481247</w:t>
      </w:r>
    </w:p>
    <w:p w14:paraId="40E4B55A"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Asthma Statistics | AAAAI. (n.d.). Retrieved October 22, 2017, from http://www.aaaai.org/about-aaaai/newsroom/asthma-statistics</w:t>
      </w:r>
    </w:p>
    <w:p w14:paraId="210E0C26"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Bishop, K. A., Harrington, A., Kouranova, E., Weinstein, E. J., Rosen, C. J., Cui, X., &amp; Liaw, L. (2016). CRISPR/Cas9-Mediated Insertion of loxP Sites in the Mouse Dock7 Gene Provides an Effective Alternative to Use of Targeted Embryonic Stem Cells. </w:t>
      </w:r>
      <w:r w:rsidRPr="00CE3F56">
        <w:rPr>
          <w:rFonts w:ascii="Times New Roman" w:hAnsi="Times New Roman" w:cs="Times New Roman"/>
          <w:i/>
          <w:iCs/>
          <w:noProof/>
          <w:szCs w:val="24"/>
        </w:rPr>
        <w:t>G3 (Bethesda, Md.)</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6</w:t>
      </w:r>
      <w:r w:rsidRPr="00CE3F56">
        <w:rPr>
          <w:rFonts w:ascii="Times New Roman" w:hAnsi="Times New Roman" w:cs="Times New Roman"/>
          <w:noProof/>
          <w:szCs w:val="24"/>
        </w:rPr>
        <w:t>(7), 2051–61. https://doi.org/10.1534/g3.116.030601</w:t>
      </w:r>
    </w:p>
    <w:p w14:paraId="32F4C81A"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Chaimowitz, N. S., Martin, R. K., Cichy, J., Gibb, D. R., Patil, P., Kang, D.-J., … Conrad, D. H. (2011). A disintegrin and metalloproteinase 10 regulates antibody production and maintenance of lymphoid architecture. </w:t>
      </w:r>
      <w:r w:rsidRPr="00CE3F56">
        <w:rPr>
          <w:rFonts w:ascii="Times New Roman" w:hAnsi="Times New Roman" w:cs="Times New Roman"/>
          <w:i/>
          <w:iCs/>
          <w:noProof/>
          <w:szCs w:val="24"/>
        </w:rPr>
        <w:t>Journal of Immunology (Baltimore, Md. : 1950)</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187</w:t>
      </w:r>
      <w:r w:rsidRPr="00CE3F56">
        <w:rPr>
          <w:rFonts w:ascii="Times New Roman" w:hAnsi="Times New Roman" w:cs="Times New Roman"/>
          <w:noProof/>
          <w:szCs w:val="24"/>
        </w:rPr>
        <w:t>(10), 5114–22. https://doi.org/10.4049/jimmunol.1102172</w:t>
      </w:r>
    </w:p>
    <w:p w14:paraId="73AD4D0E"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Cooley, L. F., Martin, R. K., Zellner, H. B., Irani, A.-M., Uram-Tuculescu, C., El Shikh, M. E., &amp; Conrad, D. H. (2015). Increased B Cell ADAM10 in Allergic Patients and Th2 Prone Mice. </w:t>
      </w:r>
      <w:r w:rsidRPr="00CE3F56">
        <w:rPr>
          <w:rFonts w:ascii="Times New Roman" w:hAnsi="Times New Roman" w:cs="Times New Roman"/>
          <w:i/>
          <w:iCs/>
          <w:noProof/>
          <w:szCs w:val="24"/>
        </w:rPr>
        <w:t>PloS One</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10</w:t>
      </w:r>
      <w:r w:rsidRPr="00CE3F56">
        <w:rPr>
          <w:rFonts w:ascii="Times New Roman" w:hAnsi="Times New Roman" w:cs="Times New Roman"/>
          <w:noProof/>
          <w:szCs w:val="24"/>
        </w:rPr>
        <w:t>(5), e0124331. https://doi.org/10.1371/journal.pone.0124331</w:t>
      </w:r>
    </w:p>
    <w:p w14:paraId="5A721A74"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lastRenderedPageBreak/>
        <w:t>flexiVent | SCIREQ. (n.d.). Retrieved November 23, 2017, from http://www.scireq.com/flexivent</w:t>
      </w:r>
    </w:p>
    <w:p w14:paraId="666DC475"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How Is Asthma Treated and Controlled? - NHLBI, NIH. (n.d.). Retrieved November 22, 2017, from https://www.nhlbi.nih.gov/health/health-topics/topics/asthma/treatment</w:t>
      </w:r>
    </w:p>
    <w:p w14:paraId="1C16A10F"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Kim, M., Suh, J., Romano, D., Truong, M. H., Mullin, K., Hooli, B., … Tanzi, R. E. (2009). Potential late-onset Alzheimer’s disease-associated mutations in the ADAM10 gene attenuate {alpha}-secretase activity. </w:t>
      </w:r>
      <w:r w:rsidRPr="00CE3F56">
        <w:rPr>
          <w:rFonts w:ascii="Times New Roman" w:hAnsi="Times New Roman" w:cs="Times New Roman"/>
          <w:i/>
          <w:iCs/>
          <w:noProof/>
          <w:szCs w:val="24"/>
        </w:rPr>
        <w:t>Human Molecular Genetics</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18</w:t>
      </w:r>
      <w:r w:rsidRPr="00CE3F56">
        <w:rPr>
          <w:rFonts w:ascii="Times New Roman" w:hAnsi="Times New Roman" w:cs="Times New Roman"/>
          <w:noProof/>
          <w:szCs w:val="24"/>
        </w:rPr>
        <w:t>(20), 3987–96. https://doi.org/10.1093/hmg/ddp323</w:t>
      </w:r>
    </w:p>
    <w:p w14:paraId="2B2D8D26"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Knolle, M. D., &amp; Owen, C. A. (2009). ADAM8: a new therapeutic target for asthma. </w:t>
      </w:r>
      <w:r w:rsidRPr="00CE3F56">
        <w:rPr>
          <w:rFonts w:ascii="Times New Roman" w:hAnsi="Times New Roman" w:cs="Times New Roman"/>
          <w:i/>
          <w:iCs/>
          <w:noProof/>
          <w:szCs w:val="24"/>
        </w:rPr>
        <w:t>Expert Opinion on Therapeutic Targets</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13</w:t>
      </w:r>
      <w:r w:rsidRPr="00CE3F56">
        <w:rPr>
          <w:rFonts w:ascii="Times New Roman" w:hAnsi="Times New Roman" w:cs="Times New Roman"/>
          <w:noProof/>
          <w:szCs w:val="24"/>
        </w:rPr>
        <w:t>(5), 523–40. https://doi.org/10.1517/14728220902889788</w:t>
      </w:r>
    </w:p>
    <w:p w14:paraId="0D8CB656"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Lownik, J. C., Luker, A. J., Damle, S. R., Cooley, L. F., El Sayed, R., Hutloff, A., … Conrad, D. H. (2017). ADAM10-Mediated ICOS Ligand Shedding on B Cells Is Necessary for Proper T Cell ICOS Regulation and T Follicular Helper Responses. </w:t>
      </w:r>
      <w:r w:rsidRPr="00CE3F56">
        <w:rPr>
          <w:rFonts w:ascii="Times New Roman" w:hAnsi="Times New Roman" w:cs="Times New Roman"/>
          <w:i/>
          <w:iCs/>
          <w:noProof/>
          <w:szCs w:val="24"/>
        </w:rPr>
        <w:t>Journal of Immunology (Baltimore, Md. : 1950)</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199</w:t>
      </w:r>
      <w:r w:rsidRPr="00CE3F56">
        <w:rPr>
          <w:rFonts w:ascii="Times New Roman" w:hAnsi="Times New Roman" w:cs="Times New Roman"/>
          <w:noProof/>
          <w:szCs w:val="24"/>
        </w:rPr>
        <w:t>(7), 2305–2315. https://doi.org/10.4049/jimmunol.1700833</w:t>
      </w:r>
    </w:p>
    <w:p w14:paraId="6A3BB850"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Lownik, J. C., Luker, A., Martin, R., Damle, S., &amp; Conrad, D. H. (2017). ADAM10 regulates the ICOS:ICOSL axis. </w:t>
      </w:r>
      <w:r w:rsidRPr="00CE3F56">
        <w:rPr>
          <w:rFonts w:ascii="Times New Roman" w:hAnsi="Times New Roman" w:cs="Times New Roman"/>
          <w:i/>
          <w:iCs/>
          <w:noProof/>
          <w:szCs w:val="24"/>
        </w:rPr>
        <w:t>The Journal of Immunology</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198</w:t>
      </w:r>
      <w:r w:rsidRPr="00CE3F56">
        <w:rPr>
          <w:rFonts w:ascii="Times New Roman" w:hAnsi="Times New Roman" w:cs="Times New Roman"/>
          <w:noProof/>
          <w:szCs w:val="24"/>
        </w:rPr>
        <w:t>(1 Supplement).</w:t>
      </w:r>
    </w:p>
    <w:p w14:paraId="101AC250"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Mahmood, T., &amp; Yang, P.-C. (2012). Western blot: technique, theory, and trouble shooting. </w:t>
      </w:r>
      <w:r w:rsidRPr="00CE3F56">
        <w:rPr>
          <w:rFonts w:ascii="Times New Roman" w:hAnsi="Times New Roman" w:cs="Times New Roman"/>
          <w:i/>
          <w:iCs/>
          <w:noProof/>
          <w:szCs w:val="24"/>
        </w:rPr>
        <w:t>North American Journal of Medical Sciences</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4</w:t>
      </w:r>
      <w:r w:rsidRPr="00CE3F56">
        <w:rPr>
          <w:rFonts w:ascii="Times New Roman" w:hAnsi="Times New Roman" w:cs="Times New Roman"/>
          <w:noProof/>
          <w:szCs w:val="24"/>
        </w:rPr>
        <w:t>(9), 429–34. https://doi.org/10.4103/1947-2714.100998</w:t>
      </w:r>
    </w:p>
    <w:p w14:paraId="6D9D2418"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Methacholine. (2010). Retrieved from https://www.drugbank.ca/drugs/DB06709</w:t>
      </w:r>
    </w:p>
    <w:p w14:paraId="407E8CED"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Need help at the cell surface? Ask your local sheddase.: R&amp;amp;D Systems. (n.d.). Retrieved December 8, 2017, from https://www.rndsystems.com/resources/articles/need-help-cell-surface-ask-your-local-sheddase</w:t>
      </w:r>
    </w:p>
    <w:p w14:paraId="51F142A1"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PCR Amplification. (n.d.). Retrieved December 9, 2017, from https://www.promega.com/resources/product-guides-and-selectors/protocols-and-applications-</w:t>
      </w:r>
      <w:r w:rsidRPr="00CE3F56">
        <w:rPr>
          <w:rFonts w:ascii="Times New Roman" w:hAnsi="Times New Roman" w:cs="Times New Roman"/>
          <w:noProof/>
          <w:szCs w:val="24"/>
        </w:rPr>
        <w:lastRenderedPageBreak/>
        <w:t>guide/pcr-amplification/</w:t>
      </w:r>
    </w:p>
    <w:p w14:paraId="2F95EEDC"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Pellegrini, A., Guinazu, N., Aoki, M. P., Calero, I. C., Carrera-Silva, E. A., Girones, N., … Gea, S. (2007). Spleen B cells from BALB/c are more prone to activation than spleen B cells from C57BL/6 mice during a secondary immune response to cruzipain. </w:t>
      </w:r>
      <w:r w:rsidRPr="00CE3F56">
        <w:rPr>
          <w:rFonts w:ascii="Times New Roman" w:hAnsi="Times New Roman" w:cs="Times New Roman"/>
          <w:i/>
          <w:iCs/>
          <w:noProof/>
          <w:szCs w:val="24"/>
        </w:rPr>
        <w:t>International Immunology</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19</w:t>
      </w:r>
      <w:r w:rsidRPr="00CE3F56">
        <w:rPr>
          <w:rFonts w:ascii="Times New Roman" w:hAnsi="Times New Roman" w:cs="Times New Roman"/>
          <w:noProof/>
          <w:szCs w:val="24"/>
        </w:rPr>
        <w:t>(12), 1395–1402. https://doi.org/10.1093/intimm/dxm107</w:t>
      </w:r>
    </w:p>
    <w:p w14:paraId="25F935A1"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Pesu, M., Watford, W. T., Wei, L., Xu, L., Fuss, I., Strober, W., … O’Shea, J. J. (2008). T-cell-expressed proprotein convertase furin is essential for maintenance of peripheral immune tolerance. </w:t>
      </w:r>
      <w:r w:rsidRPr="00CE3F56">
        <w:rPr>
          <w:rFonts w:ascii="Times New Roman" w:hAnsi="Times New Roman" w:cs="Times New Roman"/>
          <w:i/>
          <w:iCs/>
          <w:noProof/>
          <w:szCs w:val="24"/>
        </w:rPr>
        <w:t>Nature</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455</w:t>
      </w:r>
      <w:r w:rsidRPr="00CE3F56">
        <w:rPr>
          <w:rFonts w:ascii="Times New Roman" w:hAnsi="Times New Roman" w:cs="Times New Roman"/>
          <w:noProof/>
          <w:szCs w:val="24"/>
        </w:rPr>
        <w:t>(7210), 246–250. https://doi.org/10.1038/nature07210</w:t>
      </w:r>
    </w:p>
    <w:p w14:paraId="648B34CE"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Rickert, R., Roes, J., &amp; Rajewsky, K. (1997). B lymphocyte-specific, Cre-mediated mutagenesis in mice. </w:t>
      </w:r>
      <w:r w:rsidRPr="00CE3F56">
        <w:rPr>
          <w:rFonts w:ascii="Times New Roman" w:hAnsi="Times New Roman" w:cs="Times New Roman"/>
          <w:i/>
          <w:iCs/>
          <w:noProof/>
          <w:szCs w:val="24"/>
        </w:rPr>
        <w:t>Nucleic Acids Research</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25</w:t>
      </w:r>
      <w:r w:rsidRPr="00CE3F56">
        <w:rPr>
          <w:rFonts w:ascii="Times New Roman" w:hAnsi="Times New Roman" w:cs="Times New Roman"/>
          <w:noProof/>
          <w:szCs w:val="24"/>
        </w:rPr>
        <w:t>(6), 1317–1318. https://doi.org/10.1093/nar/25.6.1317</w:t>
      </w:r>
    </w:p>
    <w:p w14:paraId="4B75C270"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Roebroek, A. J. M., Taylor, N. A., Louagie, E., Pauli, I., Smeijers, L., Snellinx, A., … Creemers, J. W. M. (2004). Limited redundancy of the proprotein convertase furin in mouse liver. </w:t>
      </w:r>
      <w:r w:rsidRPr="00CE3F56">
        <w:rPr>
          <w:rFonts w:ascii="Times New Roman" w:hAnsi="Times New Roman" w:cs="Times New Roman"/>
          <w:i/>
          <w:iCs/>
          <w:noProof/>
          <w:szCs w:val="24"/>
        </w:rPr>
        <w:t>The Journal of Biological Chemistry</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279</w:t>
      </w:r>
      <w:r w:rsidRPr="00CE3F56">
        <w:rPr>
          <w:rFonts w:ascii="Times New Roman" w:hAnsi="Times New Roman" w:cs="Times New Roman"/>
          <w:noProof/>
          <w:szCs w:val="24"/>
        </w:rPr>
        <w:t>(51), 53442–50. https://doi.org/10.1074/jbc.M407152200</w:t>
      </w:r>
    </w:p>
    <w:p w14:paraId="7FB12956"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Seals, D. F., &amp; Courtneidge, S. A. (2003). The ADAMs family of metalloproteases: multidomain proteins with multiple functions. </w:t>
      </w:r>
      <w:r w:rsidRPr="00CE3F56">
        <w:rPr>
          <w:rFonts w:ascii="Times New Roman" w:hAnsi="Times New Roman" w:cs="Times New Roman"/>
          <w:i/>
          <w:iCs/>
          <w:noProof/>
          <w:szCs w:val="24"/>
        </w:rPr>
        <w:t>Genes &amp; Development</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17</w:t>
      </w:r>
      <w:r w:rsidRPr="00CE3F56">
        <w:rPr>
          <w:rFonts w:ascii="Times New Roman" w:hAnsi="Times New Roman" w:cs="Times New Roman"/>
          <w:noProof/>
          <w:szCs w:val="24"/>
        </w:rPr>
        <w:t>(1), 7–30. https://doi.org/10.1101/gad.1039703</w:t>
      </w:r>
    </w:p>
    <w:p w14:paraId="4A8BC29A"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Seidah, N. G. (2011). The Proprotein Convertases, 20 Years Later (pp. 23–57). https://doi.org/10.1007/978-1-61779-204-5_3</w:t>
      </w:r>
    </w:p>
    <w:p w14:paraId="6EB5593F"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Turpeinen, H., Ortutay, Z., &amp; Pesu, M. (2013). Genetics of the first seven proprotein convertase enzymes in health and disease. </w:t>
      </w:r>
      <w:r w:rsidRPr="00CE3F56">
        <w:rPr>
          <w:rFonts w:ascii="Times New Roman" w:hAnsi="Times New Roman" w:cs="Times New Roman"/>
          <w:i/>
          <w:iCs/>
          <w:noProof/>
          <w:szCs w:val="24"/>
        </w:rPr>
        <w:t>Current Genomics</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14</w:t>
      </w:r>
      <w:r w:rsidRPr="00CE3F56">
        <w:rPr>
          <w:rFonts w:ascii="Times New Roman" w:hAnsi="Times New Roman" w:cs="Times New Roman"/>
          <w:noProof/>
          <w:szCs w:val="24"/>
        </w:rPr>
        <w:t>(7), 453–67. https://doi.org/10.2174/1389202911314050010</w:t>
      </w:r>
    </w:p>
    <w:p w14:paraId="3E2DB4C8"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Van Wart, H. E., &amp; Birkedal-Hansen, H. (1990). The cysteine switch: a principle of regulation of metalloproteinase activity with potential applicability to the entire matrix metalloproteinase gene family. </w:t>
      </w:r>
      <w:r w:rsidRPr="00CE3F56">
        <w:rPr>
          <w:rFonts w:ascii="Times New Roman" w:hAnsi="Times New Roman" w:cs="Times New Roman"/>
          <w:i/>
          <w:iCs/>
          <w:noProof/>
          <w:szCs w:val="24"/>
        </w:rPr>
        <w:t>Proceedings of the National Academy of Sciences of the United States of America</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87</w:t>
      </w:r>
      <w:r w:rsidRPr="00CE3F56">
        <w:rPr>
          <w:rFonts w:ascii="Times New Roman" w:hAnsi="Times New Roman" w:cs="Times New Roman"/>
          <w:noProof/>
          <w:szCs w:val="24"/>
        </w:rPr>
        <w:t xml:space="preserve">(14), </w:t>
      </w:r>
      <w:r w:rsidRPr="00CE3F56">
        <w:rPr>
          <w:rFonts w:ascii="Times New Roman" w:hAnsi="Times New Roman" w:cs="Times New Roman"/>
          <w:noProof/>
          <w:szCs w:val="24"/>
        </w:rPr>
        <w:lastRenderedPageBreak/>
        <w:t>5578–82. Retrieved from http://www.ncbi.nlm.nih.gov/pubmed/2164689</w:t>
      </w:r>
    </w:p>
    <w:p w14:paraId="7A7D2FE6"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Wang, K., Wei, G., &amp; Liu, D. (2012). CD19: a biomarker for B cell development, lymphoma diagnosis and therapy. </w:t>
      </w:r>
      <w:r w:rsidRPr="00CE3F56">
        <w:rPr>
          <w:rFonts w:ascii="Times New Roman" w:hAnsi="Times New Roman" w:cs="Times New Roman"/>
          <w:i/>
          <w:iCs/>
          <w:noProof/>
          <w:szCs w:val="24"/>
        </w:rPr>
        <w:t>Experimental Hematology &amp; Oncology</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w:t>
      </w:r>
      <w:r w:rsidRPr="00CE3F56">
        <w:rPr>
          <w:rFonts w:ascii="Times New Roman" w:hAnsi="Times New Roman" w:cs="Times New Roman"/>
          <w:noProof/>
          <w:szCs w:val="24"/>
        </w:rPr>
        <w:t>(1), 36. https://doi.org/10.1186/2162-3619-1-36</w:t>
      </w:r>
    </w:p>
    <w:p w14:paraId="2FA38331"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Why Pick PAS for Histology? - Bitesize Bio. (n.d.). Retrieved November 25, 2017, from https://bitesizebio.com/13413/why-pick-pas-for-histology/</w:t>
      </w:r>
    </w:p>
    <w:p w14:paraId="2EECB35D"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szCs w:val="24"/>
        </w:rPr>
      </w:pPr>
      <w:r w:rsidRPr="00CE3F56">
        <w:rPr>
          <w:rFonts w:ascii="Times New Roman" w:hAnsi="Times New Roman" w:cs="Times New Roman"/>
          <w:noProof/>
          <w:szCs w:val="24"/>
        </w:rPr>
        <w:t xml:space="preserve">Woodfolk, J. A. (2007). T-cell responses to allergens. </w:t>
      </w:r>
      <w:r w:rsidRPr="00CE3F56">
        <w:rPr>
          <w:rFonts w:ascii="Times New Roman" w:hAnsi="Times New Roman" w:cs="Times New Roman"/>
          <w:i/>
          <w:iCs/>
          <w:noProof/>
          <w:szCs w:val="24"/>
        </w:rPr>
        <w:t>Journal of Allergy and Clinical Immunology</w:t>
      </w:r>
      <w:r w:rsidRPr="00CE3F56">
        <w:rPr>
          <w:rFonts w:ascii="Times New Roman" w:hAnsi="Times New Roman" w:cs="Times New Roman"/>
          <w:noProof/>
          <w:szCs w:val="24"/>
        </w:rPr>
        <w:t xml:space="preserve">, </w:t>
      </w:r>
      <w:r w:rsidRPr="00CE3F56">
        <w:rPr>
          <w:rFonts w:ascii="Times New Roman" w:hAnsi="Times New Roman" w:cs="Times New Roman"/>
          <w:i/>
          <w:iCs/>
          <w:noProof/>
          <w:szCs w:val="24"/>
        </w:rPr>
        <w:t>119</w:t>
      </w:r>
      <w:r w:rsidRPr="00CE3F56">
        <w:rPr>
          <w:rFonts w:ascii="Times New Roman" w:hAnsi="Times New Roman" w:cs="Times New Roman"/>
          <w:noProof/>
          <w:szCs w:val="24"/>
        </w:rPr>
        <w:t>(2), 280–294. https://doi.org/10.1016/j.jaci.2006.11.008</w:t>
      </w:r>
    </w:p>
    <w:p w14:paraId="49A9B1FA" w14:textId="77777777" w:rsidR="007013F6" w:rsidRPr="00CE3F56" w:rsidRDefault="007013F6" w:rsidP="007013F6">
      <w:pPr>
        <w:widowControl w:val="0"/>
        <w:autoSpaceDE w:val="0"/>
        <w:autoSpaceDN w:val="0"/>
        <w:adjustRightInd w:val="0"/>
        <w:spacing w:line="480" w:lineRule="auto"/>
        <w:ind w:left="480" w:hanging="480"/>
        <w:rPr>
          <w:rFonts w:ascii="Times New Roman" w:hAnsi="Times New Roman" w:cs="Times New Roman"/>
          <w:noProof/>
        </w:rPr>
      </w:pPr>
      <w:r w:rsidRPr="00CE3F56">
        <w:rPr>
          <w:rFonts w:ascii="Times New Roman" w:hAnsi="Times New Roman" w:cs="Times New Roman"/>
          <w:noProof/>
          <w:szCs w:val="24"/>
        </w:rPr>
        <w:t xml:space="preserve">Zhang, L., Prietsch, S. O., &amp; Ducharme, F. M. (2014). Inhaled corticosteroids in children with persistent asthma: effects on growth. In L. Zhang (Ed.), </w:t>
      </w:r>
      <w:r w:rsidRPr="00CE3F56">
        <w:rPr>
          <w:rFonts w:ascii="Times New Roman" w:hAnsi="Times New Roman" w:cs="Times New Roman"/>
          <w:i/>
          <w:iCs/>
          <w:noProof/>
          <w:szCs w:val="24"/>
        </w:rPr>
        <w:t>Cochrane Database of Systematic Reviews</w:t>
      </w:r>
      <w:r w:rsidRPr="00CE3F56">
        <w:rPr>
          <w:rFonts w:ascii="Times New Roman" w:hAnsi="Times New Roman" w:cs="Times New Roman"/>
          <w:noProof/>
          <w:szCs w:val="24"/>
        </w:rPr>
        <w:t>. Chichester, UK: John Wiley &amp; Sons, Ltd. https://doi.org/10.1002/14651858.CD009471.pub2</w:t>
      </w:r>
    </w:p>
    <w:p w14:paraId="0E1DB0B2" w14:textId="77777777" w:rsidR="007013F6" w:rsidRPr="000D4178" w:rsidRDefault="007013F6" w:rsidP="007013F6">
      <w:pPr>
        <w:spacing w:line="480" w:lineRule="auto"/>
      </w:pPr>
      <w:r>
        <w:fldChar w:fldCharType="end"/>
      </w:r>
    </w:p>
    <w:p w14:paraId="24104D38" w14:textId="77777777" w:rsidR="007013F6" w:rsidRPr="00845197" w:rsidRDefault="007013F6" w:rsidP="007013F6">
      <w:pPr>
        <w:rPr>
          <w:rFonts w:ascii="Times New Roman" w:hAnsi="Times New Roman" w:cs="Times New Roman"/>
        </w:rPr>
      </w:pPr>
    </w:p>
    <w:p w14:paraId="206F2BCC" w14:textId="77777777" w:rsidR="007013F6" w:rsidRDefault="007013F6" w:rsidP="007013F6">
      <w:pPr>
        <w:rPr>
          <w:rFonts w:ascii="Times New Roman" w:hAnsi="Times New Roman" w:cs="Times New Roman"/>
        </w:rPr>
      </w:pPr>
    </w:p>
    <w:p w14:paraId="63EFEB67" w14:textId="77777777" w:rsidR="007013F6" w:rsidRPr="00845197" w:rsidRDefault="007013F6" w:rsidP="007013F6">
      <w:pPr>
        <w:tabs>
          <w:tab w:val="left" w:pos="8028"/>
        </w:tabs>
        <w:rPr>
          <w:rFonts w:ascii="Times New Roman" w:hAnsi="Times New Roman" w:cs="Times New Roman"/>
        </w:rPr>
      </w:pPr>
      <w:r>
        <w:rPr>
          <w:rFonts w:ascii="Times New Roman" w:hAnsi="Times New Roman" w:cs="Times New Roman"/>
        </w:rPr>
        <w:tab/>
      </w:r>
    </w:p>
    <w:p w14:paraId="0626B466" w14:textId="77777777" w:rsidR="00D9513D" w:rsidRDefault="00D9513D"/>
    <w:sectPr w:rsidR="00D951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E874" w14:textId="77777777" w:rsidR="00C24DE9" w:rsidRDefault="00C24DE9" w:rsidP="007013F6">
      <w:pPr>
        <w:spacing w:after="0" w:line="240" w:lineRule="auto"/>
      </w:pPr>
      <w:r>
        <w:separator/>
      </w:r>
    </w:p>
  </w:endnote>
  <w:endnote w:type="continuationSeparator" w:id="0">
    <w:p w14:paraId="468F8C86" w14:textId="77777777" w:rsidR="00C24DE9" w:rsidRDefault="00C24DE9" w:rsidP="0070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DC1DD" w14:textId="77777777" w:rsidR="00C24DE9" w:rsidRDefault="00C24DE9" w:rsidP="007013F6">
      <w:pPr>
        <w:spacing w:after="0" w:line="240" w:lineRule="auto"/>
      </w:pPr>
      <w:r>
        <w:separator/>
      </w:r>
    </w:p>
  </w:footnote>
  <w:footnote w:type="continuationSeparator" w:id="0">
    <w:p w14:paraId="54D92672" w14:textId="77777777" w:rsidR="00C24DE9" w:rsidRDefault="00C24DE9" w:rsidP="00701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21B6" w14:textId="77777777" w:rsidR="007013F6" w:rsidRPr="007013F6" w:rsidRDefault="007013F6" w:rsidP="007013F6">
    <w:pPr>
      <w:pStyle w:val="Header"/>
      <w:jc w:val="right"/>
      <w:rPr>
        <w:rFonts w:ascii="Times New Roman" w:hAnsi="Times New Roman" w:cs="Times New Roman"/>
      </w:rPr>
    </w:pPr>
    <w:r>
      <w:rPr>
        <w:rFonts w:ascii="Times New Roman" w:hAnsi="Times New Roman" w:cs="Times New Roman"/>
      </w:rPr>
      <w:t>Sharoon Arshad</w:t>
    </w:r>
  </w:p>
  <w:p w14:paraId="31B731F0" w14:textId="77777777" w:rsidR="00C419F5" w:rsidRDefault="00C2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F6"/>
    <w:rsid w:val="002E2163"/>
    <w:rsid w:val="00370F57"/>
    <w:rsid w:val="003A559A"/>
    <w:rsid w:val="006E54CE"/>
    <w:rsid w:val="007013F6"/>
    <w:rsid w:val="00770534"/>
    <w:rsid w:val="009006DC"/>
    <w:rsid w:val="009046E5"/>
    <w:rsid w:val="00A52D8A"/>
    <w:rsid w:val="00A9471C"/>
    <w:rsid w:val="00C24DE9"/>
    <w:rsid w:val="00D9513D"/>
    <w:rsid w:val="00EB5034"/>
    <w:rsid w:val="00FF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150A"/>
  <w15:chartTrackingRefBased/>
  <w15:docId w15:val="{7AF5513E-836B-4753-A9C1-CA056823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3F6"/>
  </w:style>
  <w:style w:type="character" w:styleId="Hyperlink">
    <w:name w:val="Hyperlink"/>
    <w:basedOn w:val="DefaultParagraphFont"/>
    <w:uiPriority w:val="99"/>
    <w:unhideWhenUsed/>
    <w:rsid w:val="007013F6"/>
    <w:rPr>
      <w:color w:val="0563C1" w:themeColor="hyperlink"/>
      <w:u w:val="single"/>
    </w:rPr>
  </w:style>
  <w:style w:type="character" w:styleId="CommentReference">
    <w:name w:val="annotation reference"/>
    <w:basedOn w:val="DefaultParagraphFont"/>
    <w:uiPriority w:val="99"/>
    <w:semiHidden/>
    <w:unhideWhenUsed/>
    <w:rsid w:val="007013F6"/>
    <w:rPr>
      <w:sz w:val="16"/>
      <w:szCs w:val="16"/>
    </w:rPr>
  </w:style>
  <w:style w:type="paragraph" w:styleId="CommentText">
    <w:name w:val="annotation text"/>
    <w:basedOn w:val="Normal"/>
    <w:link w:val="CommentTextChar"/>
    <w:uiPriority w:val="99"/>
    <w:semiHidden/>
    <w:unhideWhenUsed/>
    <w:rsid w:val="007013F6"/>
    <w:pPr>
      <w:spacing w:line="240" w:lineRule="auto"/>
    </w:pPr>
    <w:rPr>
      <w:sz w:val="20"/>
      <w:szCs w:val="20"/>
    </w:rPr>
  </w:style>
  <w:style w:type="character" w:customStyle="1" w:styleId="CommentTextChar">
    <w:name w:val="Comment Text Char"/>
    <w:basedOn w:val="DefaultParagraphFont"/>
    <w:link w:val="CommentText"/>
    <w:uiPriority w:val="99"/>
    <w:semiHidden/>
    <w:rsid w:val="007013F6"/>
    <w:rPr>
      <w:sz w:val="20"/>
      <w:szCs w:val="20"/>
    </w:rPr>
  </w:style>
  <w:style w:type="paragraph" w:styleId="Footer">
    <w:name w:val="footer"/>
    <w:basedOn w:val="Normal"/>
    <w:link w:val="FooterChar"/>
    <w:uiPriority w:val="99"/>
    <w:unhideWhenUsed/>
    <w:rsid w:val="0070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3F6"/>
  </w:style>
  <w:style w:type="paragraph" w:styleId="BalloonText">
    <w:name w:val="Balloon Text"/>
    <w:basedOn w:val="Normal"/>
    <w:link w:val="BalloonTextChar"/>
    <w:uiPriority w:val="99"/>
    <w:semiHidden/>
    <w:unhideWhenUsed/>
    <w:rsid w:val="0070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2D8A"/>
    <w:rPr>
      <w:b/>
      <w:bCs/>
    </w:rPr>
  </w:style>
  <w:style w:type="character" w:customStyle="1" w:styleId="CommentSubjectChar">
    <w:name w:val="Comment Subject Char"/>
    <w:basedOn w:val="CommentTextChar"/>
    <w:link w:val="CommentSubject"/>
    <w:uiPriority w:val="99"/>
    <w:semiHidden/>
    <w:rsid w:val="00A52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988C-6C24-43E3-9781-7EAB1AB1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12602</Words>
  <Characters>71835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sharoon arshad</dc:creator>
  <cp:keywords/>
  <dc:description/>
  <cp:lastModifiedBy>sharoon arshad</cp:lastModifiedBy>
  <cp:revision>12</cp:revision>
  <dcterms:created xsi:type="dcterms:W3CDTF">2018-11-25T06:22:00Z</dcterms:created>
  <dcterms:modified xsi:type="dcterms:W3CDTF">2018-11-26T20:07:00Z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