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801" w:rsidRDefault="00057801" w:rsidP="00057801">
      <w:pPr>
        <w:jc w:val="center"/>
        <w:rPr>
          <w:b/>
          <w:sz w:val="28"/>
        </w:rPr>
      </w:pPr>
      <w:r>
        <w:rPr>
          <w:b/>
          <w:sz w:val="28"/>
        </w:rPr>
        <w:t xml:space="preserve">Comparison of Phenylalanine v. Tyrosine rotamers with </w:t>
      </w:r>
    </w:p>
    <w:p w:rsidR="000B7111" w:rsidRDefault="00057801" w:rsidP="00057801">
      <w:pPr>
        <w:jc w:val="center"/>
        <w:rPr>
          <w:b/>
          <w:sz w:val="28"/>
        </w:rPr>
      </w:pPr>
      <w:proofErr w:type="gramStart"/>
      <w:r>
        <w:rPr>
          <w:b/>
          <w:sz w:val="28"/>
        </w:rPr>
        <w:t>respect</w:t>
      </w:r>
      <w:proofErr w:type="gramEnd"/>
      <w:r>
        <w:rPr>
          <w:b/>
          <w:sz w:val="28"/>
        </w:rPr>
        <w:t xml:space="preserve"> to alpha helix structure using 3D modeling software</w:t>
      </w:r>
    </w:p>
    <w:p w:rsidR="00057801" w:rsidRDefault="00057801" w:rsidP="00057801">
      <w:pPr>
        <w:rPr>
          <w:b/>
          <w:sz w:val="28"/>
        </w:rPr>
      </w:pPr>
    </w:p>
    <w:p w:rsidR="00057801" w:rsidRDefault="00057801" w:rsidP="00057801">
      <w:pPr>
        <w:pStyle w:val="ListParagraph"/>
        <w:numPr>
          <w:ilvl w:val="0"/>
          <w:numId w:val="1"/>
        </w:numPr>
        <w:ind w:left="360" w:hanging="360"/>
        <w:rPr>
          <w:b/>
          <w:sz w:val="24"/>
        </w:rPr>
      </w:pPr>
      <w:r>
        <w:rPr>
          <w:b/>
          <w:sz w:val="24"/>
        </w:rPr>
        <w:t>Introduction</w:t>
      </w:r>
    </w:p>
    <w:p w:rsidR="00057801" w:rsidRDefault="00057801" w:rsidP="00057801">
      <w:pPr>
        <w:rPr>
          <w:sz w:val="24"/>
        </w:rPr>
      </w:pPr>
    </w:p>
    <w:p w:rsidR="00EC08B3" w:rsidRDefault="00264E66" w:rsidP="00057801">
      <w:pPr>
        <w:rPr>
          <w:sz w:val="24"/>
        </w:rPr>
      </w:pPr>
      <w:r>
        <w:rPr>
          <w:sz w:val="24"/>
        </w:rPr>
        <w:t xml:space="preserve">Since Crick </w:t>
      </w:r>
      <w:r w:rsidR="00057801">
        <w:rPr>
          <w:sz w:val="24"/>
        </w:rPr>
        <w:t xml:space="preserve">determined the </w:t>
      </w:r>
      <w:r>
        <w:rPr>
          <w:sz w:val="24"/>
        </w:rPr>
        <w:t xml:space="preserve">central dogma </w:t>
      </w:r>
      <w:r>
        <w:rPr>
          <w:sz w:val="24"/>
        </w:rPr>
        <w:fldChar w:fldCharType="begin" w:fldLock="1"/>
      </w:r>
      <w:r>
        <w:rPr>
          <w:sz w:val="24"/>
        </w:rPr>
        <w:instrText>ADDIN CSL_CITATION { "citationItems" : [ { "id" : "ITEM-1", "itemData" : { "DOI" : "10.1038/227561a0", "ISBN" : "0081-1386 (Print)\\r0081-1386 (Linking)", "ISSN" : "0081-1386", "PMID" : "13580867", "abstract" : "Protein synthesis is a large subject in a state of rapid development. To cover it completely in this article would be impossible. I have therefore deliberately limited myself here to presenting a broad general view of the problem, emphasizing in particular well-established facts which require explanation, and only selecting from recent work those experiments whose implications seem likely to be of lasting significance. Much very recent work, often of great interest, has been omitted because its implications are not clear. I have also tried to relate the problem to the other central problems of molecular biology-those of gene action and nucleic acid synthesis. In short, I have written for the biologist rather than the biochemist, the general reader rather than the specialist. More technical reviews have appeared recently by Borsook (1956), Spiegelman (1957), and Sin&amp;in &amp; Work (19576 and this Symposium)", "author" : [ { "dropping-particle" : "", "family" : "Crick", "given" : "Francis", "non-dropping-particle" : "", "parse-names" : false, "suffix" : "" } ], "container-title" : "The Symposia of the Society for Experimental Biology", "id" : "ITEM-1", "issued" : { "date-parts" : [ [ "1958" ] ] }, "page" : "138-166", "title" : "On Protein Synthesis", "type" : "article-journal" }, "uris" : [ "http://www.mendeley.com/documents/?uuid=eb01be30-2a32-4a51-a98b-1f1a91455a00" ] } ], "mendeley" : { "formattedCitation" : "(Crick, 1958)", "plainTextFormattedCitation" : "(Crick, 1958)", "previouslyFormattedCitation" : "(Crick, 1958)" }, "properties" : {  }, "schema" : "https://github.com/citation-style-language/schema/raw/master/csl-citation.json" }</w:instrText>
      </w:r>
      <w:r>
        <w:rPr>
          <w:sz w:val="24"/>
        </w:rPr>
        <w:fldChar w:fldCharType="separate"/>
      </w:r>
      <w:r w:rsidRPr="00264E66">
        <w:rPr>
          <w:noProof/>
          <w:sz w:val="24"/>
        </w:rPr>
        <w:t>(Crick, 1958)</w:t>
      </w:r>
      <w:r>
        <w:rPr>
          <w:sz w:val="24"/>
        </w:rPr>
        <w:fldChar w:fldCharType="end"/>
      </w:r>
      <w:r w:rsidR="00CF4A90">
        <w:rPr>
          <w:sz w:val="24"/>
        </w:rPr>
        <w:t>, researchers have been working endlessly to determine how proteins work. We currently know that structure determi</w:t>
      </w:r>
      <w:r>
        <w:rPr>
          <w:sz w:val="24"/>
        </w:rPr>
        <w:t xml:space="preserve">nes function </w:t>
      </w:r>
      <w:r>
        <w:rPr>
          <w:sz w:val="24"/>
        </w:rPr>
        <w:fldChar w:fldCharType="begin" w:fldLock="1"/>
      </w:r>
      <w:r>
        <w:rPr>
          <w:sz w:val="24"/>
        </w:rPr>
        <w:instrText>ADDIN CSL_CITATION { "citationItems" : [ { "id" : "ITEM-1", "itemData" : { "author" : [ { "dropping-particle" : "", "family" : "Berg", "given" : "JM", "non-dropping-particle" : "", "parse-names" : false, "suffix" : "" }, { "dropping-particle" : "", "family" : "Tymoczko", "given" : "JL", "non-dropping-particle" : "", "parse-names" : false, "suffix" : "" }, { "dropping-particle" : "", "family" : "Stryer", "given" : "L", "non-dropping-particle" : "", "parse-names" : false, "suffix" : "" } ], "chapter-number" : "Chapter 3", "container-title" : "Biochemistry", "edition" : "5", "id" : "ITEM-1", "issued" : { "date-parts" : [ [ "2002" ] ] }, "publisher" : "W. H. Freeman", "publisher-place" : "New York", "title" : "Protein Structure and Function", "type" : "chapter" }, "uris" : [ "http://www.mendeley.com/documents/?uuid=7df1c205-bb92-48b3-a939-acee815601a6" ] } ], "mendeley" : { "formattedCitation" : "(Berg, Tymoczko, &amp; Stryer, 2002)", "plainTextFormattedCitation" : "(Berg, Tymoczko, &amp; Stryer, 2002)", "previouslyFormattedCitation" : "(Berg, Tymoczko, &amp; Stryer, 2002)" }, "properties" : {  }, "schema" : "https://github.com/citation-style-language/schema/raw/master/csl-citation.json" }</w:instrText>
      </w:r>
      <w:r>
        <w:rPr>
          <w:sz w:val="24"/>
        </w:rPr>
        <w:fldChar w:fldCharType="separate"/>
      </w:r>
      <w:r w:rsidRPr="00264E66">
        <w:rPr>
          <w:noProof/>
          <w:sz w:val="24"/>
        </w:rPr>
        <w:t>(Berg, Tymoczko, &amp; Stryer, 2002)</w:t>
      </w:r>
      <w:r>
        <w:rPr>
          <w:sz w:val="24"/>
        </w:rPr>
        <w:fldChar w:fldCharType="end"/>
      </w:r>
      <w:r w:rsidR="00CF4A90">
        <w:rPr>
          <w:sz w:val="24"/>
        </w:rPr>
        <w:t xml:space="preserve">. So in this long process to understand how proteins work, </w:t>
      </w:r>
      <w:r>
        <w:rPr>
          <w:sz w:val="24"/>
        </w:rPr>
        <w:t>we are currently trying to understand</w:t>
      </w:r>
      <w:r w:rsidR="00CF4A90">
        <w:rPr>
          <w:sz w:val="24"/>
        </w:rPr>
        <w:t xml:space="preserve"> how the structure works. Once we determine the structure, we will have a better understanding of how</w:t>
      </w:r>
      <w:r>
        <w:rPr>
          <w:sz w:val="24"/>
        </w:rPr>
        <w:t xml:space="preserve"> it works in its own unique environment</w:t>
      </w:r>
      <w:r w:rsidR="00CF4A90">
        <w:rPr>
          <w:sz w:val="24"/>
        </w:rPr>
        <w:t>. There are a handful of ways to determine the structure of a protein, and according to PDBs protein structure submission results from the past current year, the most popular methods of determining structure are x-ray crystallography and nuclear magnetic res</w:t>
      </w:r>
      <w:r w:rsidR="009631DB">
        <w:rPr>
          <w:sz w:val="24"/>
        </w:rPr>
        <w:t xml:space="preserve">onance, usually called NMR </w:t>
      </w:r>
      <w:r w:rsidR="009631DB">
        <w:rPr>
          <w:sz w:val="24"/>
        </w:rPr>
        <w:fldChar w:fldCharType="begin" w:fldLock="1"/>
      </w:r>
      <w:r w:rsidR="009631DB">
        <w:rPr>
          <w:sz w:val="24"/>
        </w:rPr>
        <w:instrText>ADDIN CSL_CITATION { "citationItems" : [ { "id" : "ITEM-1", "itemData" : { "URL" : "https://www.rcsb.org/pdb/results/results.do?tabtoshow=Current&amp;qrid=5451C702", "author" : [ { "dropping-particle" : "", "family" : "N/A", "given" : "", "non-dropping-particle" : "", "parse-names" : false, "suffix" : "" } ], "id" : "ITEM-1", "issued" : { "date-parts" : [ [ "2017" ] ] }, "title" : "Refined Search on PDB", "type" : "webpage" }, "uris" : [ "http://www.mendeley.com/documents/?uuid=6cd15606-ea6b-463a-80aa-cff7fa1d18de" ] } ], "mendeley" : { "formattedCitation" : "(N/A, 2017)", "plainTextFormattedCitation" : "(N/A, 2017)", "previouslyFormattedCitation" : "(N/A, 2017)" }, "properties" : {  }, "schema" : "https://github.com/citation-style-language/schema/raw/master/csl-citation.json" }</w:instrText>
      </w:r>
      <w:r w:rsidR="009631DB">
        <w:rPr>
          <w:sz w:val="24"/>
        </w:rPr>
        <w:fldChar w:fldCharType="separate"/>
      </w:r>
      <w:r w:rsidR="009631DB" w:rsidRPr="009631DB">
        <w:rPr>
          <w:noProof/>
          <w:sz w:val="24"/>
        </w:rPr>
        <w:t>(N/A, 2017)</w:t>
      </w:r>
      <w:r w:rsidR="009631DB">
        <w:rPr>
          <w:sz w:val="24"/>
        </w:rPr>
        <w:fldChar w:fldCharType="end"/>
      </w:r>
      <w:r w:rsidR="00CF4A90">
        <w:rPr>
          <w:sz w:val="24"/>
        </w:rPr>
        <w:t>.</w:t>
      </w:r>
      <w:r w:rsidR="00E5604C">
        <w:rPr>
          <w:sz w:val="24"/>
        </w:rPr>
        <w:t xml:space="preserve"> However, there is another emerging technique that has been growing the past couple of decades, and it is a hot research field in bioinformatics, chem</w:t>
      </w:r>
      <w:r w:rsidR="00F943AE">
        <w:rPr>
          <w:sz w:val="24"/>
        </w:rPr>
        <w:t>i</w:t>
      </w:r>
      <w:r w:rsidR="00E5604C">
        <w:rPr>
          <w:sz w:val="24"/>
        </w:rPr>
        <w:t>nforma</w:t>
      </w:r>
      <w:r w:rsidR="00EC08B3">
        <w:rPr>
          <w:sz w:val="24"/>
        </w:rPr>
        <w:t xml:space="preserve">tics, and computational biology: it is </w:t>
      </w:r>
      <w:r w:rsidR="006E6F77">
        <w:rPr>
          <w:sz w:val="24"/>
        </w:rPr>
        <w:t xml:space="preserve">molecular </w:t>
      </w:r>
      <w:r w:rsidR="00EC08B3">
        <w:rPr>
          <w:sz w:val="24"/>
        </w:rPr>
        <w:t>modeling using computers.</w:t>
      </w:r>
    </w:p>
    <w:p w:rsidR="00122CCD" w:rsidRDefault="00122CCD" w:rsidP="00057801">
      <w:pPr>
        <w:rPr>
          <w:sz w:val="24"/>
        </w:rPr>
      </w:pPr>
      <w:r>
        <w:rPr>
          <w:sz w:val="24"/>
        </w:rPr>
        <w:t>Protein modeling with computers has been a challenge area in the field of bioinformatics since at least the 90’</w:t>
      </w:r>
      <w:r w:rsidR="00D1085D">
        <w:rPr>
          <w:sz w:val="24"/>
        </w:rPr>
        <w:t>s</w:t>
      </w:r>
      <w:r>
        <w:rPr>
          <w:sz w:val="24"/>
        </w:rPr>
        <w:t xml:space="preserve">. </w:t>
      </w:r>
      <w:r w:rsidR="00D1085D">
        <w:rPr>
          <w:sz w:val="24"/>
        </w:rPr>
        <w:t xml:space="preserve">David </w:t>
      </w:r>
      <w:proofErr w:type="spellStart"/>
      <w:r w:rsidR="00D1085D">
        <w:rPr>
          <w:sz w:val="24"/>
        </w:rPr>
        <w:t>Searls</w:t>
      </w:r>
      <w:proofErr w:type="spellEnd"/>
      <w:r>
        <w:rPr>
          <w:sz w:val="24"/>
        </w:rPr>
        <w:t xml:space="preserve"> argue</w:t>
      </w:r>
      <w:r w:rsidR="00D1085D">
        <w:rPr>
          <w:sz w:val="24"/>
        </w:rPr>
        <w:t>s</w:t>
      </w:r>
      <w:r>
        <w:rPr>
          <w:sz w:val="24"/>
        </w:rPr>
        <w:t xml:space="preserve"> that perfect protein prediction is the goal of bioinformatics itself</w:t>
      </w:r>
      <w:r w:rsidR="00D1085D">
        <w:rPr>
          <w:sz w:val="24"/>
        </w:rPr>
        <w:t xml:space="preserve"> </w:t>
      </w:r>
      <w:r w:rsidR="00D1085D">
        <w:rPr>
          <w:sz w:val="24"/>
        </w:rPr>
        <w:fldChar w:fldCharType="begin" w:fldLock="1"/>
      </w:r>
      <w:r w:rsidR="00D1085D">
        <w:rPr>
          <w:sz w:val="24"/>
        </w:rPr>
        <w:instrText>ADDIN CSL_CITATION { "citationItems" : [ { "id" : "ITEM-1", "itemData" : { "author" : [ { "dropping-particle" : "", "family" : "Salzberg", "given" : "S.L.", "non-dropping-particle" : "", "parse-names" : false, "suffix" : "" }, { "dropping-particle" : "", "family" : "Searls", "given" : "D.B.", "non-dropping-particle" : "", "parse-names" : false, "suffix" : "" }, { "dropping-particle" : "", "family" : "Kasif", "given" : "S.", "non-dropping-particle" : "", "parse-names" : false, "suffix" : "" } ], "chapter-number" : "1", "container-title" : "Computational Methods in Molecular Biology", "id" : "ITEM-1", "issued" : { "date-parts" : [ [ "1998" ] ] }, "page" : "3-10", "publisher" : "Elsevier Science B.V.", "title" : "Grand Challenges in Computational Biology", "type" : "chapter" }, "uris" : [ "http://www.mendeley.com/documents/?uuid=f19b8565-7685-41e6-9cc9-ef1de154fdd4" ] } ], "mendeley" : { "formattedCitation" : "(Salzberg, Searls, &amp; Kasif, 1998)", "plainTextFormattedCitation" : "(Salzberg, Searls, &amp; Kasif, 1998)", "previouslyFormattedCitation" : "(Salzberg, Searls, &amp; Kasif, 1998)" }, "properties" : {  }, "schema" : "https://github.com/citation-style-language/schema/raw/master/csl-citation.json" }</w:instrText>
      </w:r>
      <w:r w:rsidR="00D1085D">
        <w:rPr>
          <w:sz w:val="24"/>
        </w:rPr>
        <w:fldChar w:fldCharType="separate"/>
      </w:r>
      <w:r w:rsidR="00D1085D" w:rsidRPr="00D1085D">
        <w:rPr>
          <w:noProof/>
          <w:sz w:val="24"/>
        </w:rPr>
        <w:t>(Salzberg, Searls, &amp; Kasif, 1998)</w:t>
      </w:r>
      <w:r w:rsidR="00D1085D">
        <w:rPr>
          <w:sz w:val="24"/>
        </w:rPr>
        <w:fldChar w:fldCharType="end"/>
      </w:r>
      <w:r>
        <w:rPr>
          <w:sz w:val="24"/>
        </w:rPr>
        <w:t xml:space="preserve">. </w:t>
      </w:r>
      <w:r w:rsidR="00947C6E">
        <w:rPr>
          <w:sz w:val="24"/>
        </w:rPr>
        <w:t>There’s a couple of ways that protein st</w:t>
      </w:r>
      <w:r w:rsidR="00D37B0E">
        <w:rPr>
          <w:sz w:val="24"/>
        </w:rPr>
        <w:t>ructure is predicted, but the most popular way is using homology modeling, so basically looking at previously determined structures and finding close matches in primary sequence that will most likely cause an unknown protein to fold similarly to a previously determined one</w:t>
      </w:r>
      <w:r w:rsidR="00947C6E">
        <w:rPr>
          <w:sz w:val="24"/>
        </w:rPr>
        <w:t>.</w:t>
      </w:r>
    </w:p>
    <w:p w:rsidR="006C0438" w:rsidRDefault="006C0438" w:rsidP="00057801">
      <w:pPr>
        <w:rPr>
          <w:sz w:val="24"/>
        </w:rPr>
      </w:pPr>
      <w:r>
        <w:rPr>
          <w:sz w:val="24"/>
        </w:rPr>
        <w:t>Making a successful method that can predict protein structure with 100% accuracy would speed up research efforts expon</w:t>
      </w:r>
      <w:r w:rsidR="008801E5">
        <w:rPr>
          <w:sz w:val="24"/>
        </w:rPr>
        <w:t xml:space="preserve">entially </w:t>
      </w:r>
      <w:r w:rsidR="008801E5">
        <w:rPr>
          <w:sz w:val="24"/>
        </w:rPr>
        <w:fldChar w:fldCharType="begin" w:fldLock="1"/>
      </w:r>
      <w:r w:rsidR="008801E5">
        <w:rPr>
          <w:sz w:val="24"/>
        </w:rPr>
        <w:instrText>ADDIN CSL_CITATION { "citationItems" : [ { "id" : "ITEM-1", "itemData" : { "DOI" : "10.1038/nature19946", "ISBN" : "0028-0836", "ISSN" : "0028-0836", "PMID" : "27629638", "abstract" : "There are 20(200) possible amino-acid sequences for a 200-residue protein, of which the natural evolutionary process has sampled only an infinitesimal subset. De novo protein design explores the full sequence space, guided by the physical principles that underlie protein folding. Computational methodology has advanced to the point that a wide range of structures can be designed from scratch with atomic-level accuracy. Almost all protein engineering so far has involved the modification of naturally occurring proteins; it should now be possible to design new functional proteins from the ground up to tackle current challenges in biomedicine and nanotechnology.", "author" : [ { "dropping-particle" : "", "family" : "Huang", "given" : "Po-Ssu", "non-dropping-particle" : "", "parse-names" : false, "suffix" : "" }, { "dropping-particle" : "", "family" : "Boyken", "given" : "Scott E.", "non-dropping-particle" : "", "parse-names" : false, "suffix" : "" }, { "dropping-particle" : "", "family" : "Baker", "given" : "David", "non-dropping-particle" : "", "parse-names" : false, "suffix" : "" } ], "container-title" : "Nature", "id" : "ITEM-1", "issue" : "7620", "issued" : { "date-parts" : [ [ "2016" ] ] }, "page" : "320-327", "title" : "The coming of age of de novo protein design", "type" : "article-journal", "volume" : "537" }, "uris" : [ "http://www.mendeley.com/documents/?uuid=dedbb6b6-e732-453e-ad23-5458ac89ed7a" ] } ], "mendeley" : { "formattedCitation" : "(Huang, Boyken, &amp; Baker, 2016)", "plainTextFormattedCitation" : "(Huang, Boyken, &amp; Baker, 2016)", "previouslyFormattedCitation" : "(Huang, Boyken, &amp; Baker, 2016)" }, "properties" : {  }, "schema" : "https://github.com/citation-style-language/schema/raw/master/csl-citation.json" }</w:instrText>
      </w:r>
      <w:r w:rsidR="008801E5">
        <w:rPr>
          <w:sz w:val="24"/>
        </w:rPr>
        <w:fldChar w:fldCharType="separate"/>
      </w:r>
      <w:r w:rsidR="008801E5" w:rsidRPr="008801E5">
        <w:rPr>
          <w:noProof/>
          <w:sz w:val="24"/>
        </w:rPr>
        <w:t>(Huang, Boyken, &amp; Baker, 2016)</w:t>
      </w:r>
      <w:r w:rsidR="008801E5">
        <w:rPr>
          <w:sz w:val="24"/>
        </w:rPr>
        <w:fldChar w:fldCharType="end"/>
      </w:r>
      <w:r>
        <w:rPr>
          <w:sz w:val="24"/>
        </w:rPr>
        <w:t>. A functioning solution would be able to predict any protein structure based on a primary sequence. It will be a critical step in computer aided drug discovery, simulating protein-protein interactions, and so on (?).</w:t>
      </w:r>
    </w:p>
    <w:p w:rsidR="006C0438" w:rsidRDefault="006C0438" w:rsidP="00057801">
      <w:pPr>
        <w:rPr>
          <w:sz w:val="24"/>
        </w:rPr>
      </w:pPr>
    </w:p>
    <w:p w:rsidR="00B7168C" w:rsidRDefault="006C0438" w:rsidP="00057801">
      <w:pPr>
        <w:rPr>
          <w:sz w:val="24"/>
        </w:rPr>
      </w:pPr>
      <w:r>
        <w:rPr>
          <w:sz w:val="24"/>
        </w:rPr>
        <w:t xml:space="preserve">The critical assessment of </w:t>
      </w:r>
      <w:r w:rsidR="00102FDC">
        <w:rPr>
          <w:sz w:val="24"/>
        </w:rPr>
        <w:t xml:space="preserve">protein structure </w:t>
      </w:r>
      <w:proofErr w:type="gramStart"/>
      <w:r w:rsidR="00102FDC">
        <w:rPr>
          <w:sz w:val="24"/>
        </w:rPr>
        <w:t>prediction</w:t>
      </w:r>
      <w:r w:rsidR="00E226B3">
        <w:rPr>
          <w:sz w:val="24"/>
        </w:rPr>
        <w:t>(</w:t>
      </w:r>
      <w:proofErr w:type="gramEnd"/>
      <w:r w:rsidR="00E226B3">
        <w:rPr>
          <w:sz w:val="24"/>
        </w:rPr>
        <w:t>CASP</w:t>
      </w:r>
      <w:r>
        <w:rPr>
          <w:sz w:val="24"/>
        </w:rPr>
        <w:t>) is a biannual competition that researchers enter their protein structure prediction programs and attempt to determine the</w:t>
      </w:r>
      <w:r w:rsidR="00E226B3">
        <w:rPr>
          <w:sz w:val="24"/>
        </w:rPr>
        <w:t xml:space="preserve"> structure of a new protein</w:t>
      </w:r>
      <w:r w:rsidR="00BF368B">
        <w:rPr>
          <w:sz w:val="24"/>
        </w:rPr>
        <w:t>.</w:t>
      </w:r>
      <w:r w:rsidR="00E226B3">
        <w:rPr>
          <w:sz w:val="24"/>
        </w:rPr>
        <w:t xml:space="preserve"> The better models</w:t>
      </w:r>
      <w:r w:rsidR="00E226B3">
        <w:rPr>
          <w:sz w:val="24"/>
        </w:rPr>
        <w:t xml:space="preserve"> predict</w:t>
      </w:r>
      <w:r w:rsidR="00E226B3">
        <w:rPr>
          <w:sz w:val="24"/>
        </w:rPr>
        <w:t>ed with 80</w:t>
      </w:r>
      <w:r w:rsidR="00E226B3">
        <w:rPr>
          <w:sz w:val="24"/>
        </w:rPr>
        <w:t>% accuracy</w:t>
      </w:r>
      <w:r w:rsidR="00E226B3">
        <w:rPr>
          <w:sz w:val="24"/>
        </w:rPr>
        <w:t xml:space="preserve"> or above</w:t>
      </w:r>
      <w:r w:rsidR="00C470FC">
        <w:rPr>
          <w:sz w:val="24"/>
        </w:rPr>
        <w:t xml:space="preserve">. Similar </w:t>
      </w:r>
      <w:r w:rsidR="00D94C2C">
        <w:rPr>
          <w:sz w:val="24"/>
        </w:rPr>
        <w:t xml:space="preserve">software available is </w:t>
      </w:r>
      <w:proofErr w:type="spellStart"/>
      <w:proofErr w:type="gramStart"/>
      <w:r w:rsidR="00D94C2C">
        <w:rPr>
          <w:sz w:val="24"/>
        </w:rPr>
        <w:t>HHpred</w:t>
      </w:r>
      <w:proofErr w:type="spellEnd"/>
      <w:r w:rsidR="00C470FC">
        <w:rPr>
          <w:sz w:val="24"/>
        </w:rPr>
        <w:t>,</w:t>
      </w:r>
      <w:proofErr w:type="gramEnd"/>
      <w:r w:rsidR="00C470FC">
        <w:rPr>
          <w:sz w:val="24"/>
        </w:rPr>
        <w:t xml:space="preserve"> we used this in phage lab by searching for similar sequences. Matching sequences sometimes had previously discovered domains which aids in prediction of the function of our novel gene</w:t>
      </w:r>
      <w:r w:rsidR="00D56840">
        <w:rPr>
          <w:sz w:val="24"/>
        </w:rPr>
        <w:t xml:space="preserve">. </w:t>
      </w:r>
      <w:r w:rsidR="00B7168C">
        <w:rPr>
          <w:sz w:val="24"/>
        </w:rPr>
        <w:t>Dr. Kellogg</w:t>
      </w:r>
      <w:r w:rsidR="006A4D9D">
        <w:rPr>
          <w:sz w:val="24"/>
        </w:rPr>
        <w:t>, my mentor,</w:t>
      </w:r>
      <w:r w:rsidR="00B7168C">
        <w:rPr>
          <w:sz w:val="24"/>
        </w:rPr>
        <w:t xml:space="preserve"> has done similar research, while his research isn’t strictly based on developing protein structure prediction software, his findings can definitely be used to forward the cause.</w:t>
      </w:r>
      <w:r w:rsidR="00A350C9">
        <w:rPr>
          <w:sz w:val="24"/>
        </w:rPr>
        <w:t xml:space="preserve"> Dr. Kellogg’s program </w:t>
      </w:r>
      <w:r w:rsidR="00C6670E">
        <w:rPr>
          <w:sz w:val="24"/>
        </w:rPr>
        <w:t>quantifies the h</w:t>
      </w:r>
      <w:r w:rsidR="00FE0288">
        <w:rPr>
          <w:sz w:val="24"/>
        </w:rPr>
        <w:t>ydropathic int</w:t>
      </w:r>
      <w:r w:rsidR="00E44E2B">
        <w:rPr>
          <w:sz w:val="24"/>
        </w:rPr>
        <w:t>eractions within molecules</w:t>
      </w:r>
      <w:r w:rsidR="00F56DDD">
        <w:rPr>
          <w:sz w:val="24"/>
        </w:rPr>
        <w:t xml:space="preserve"> </w:t>
      </w:r>
      <w:r w:rsidR="00F56DDD">
        <w:rPr>
          <w:sz w:val="24"/>
        </w:rPr>
        <w:fldChar w:fldCharType="begin" w:fldLock="1"/>
      </w:r>
      <w:r w:rsidR="00F56DDD">
        <w:rPr>
          <w:sz w:val="24"/>
        </w:rPr>
        <w:instrText>ADDIN CSL_CITATION { "citationItems" : [ { "id" : "ITEM-1", "itemData" : { "DOI" : "10.1002/prot.24813", "ISBN" : "9101202400986", "ISSN" : "10970134", "PMID" : "25900573", "abstract" : "Sidechain rotamer libraries are obtained through exhaustive statistical analysis of existing crystallographic structures of proteins and have been applied in multiple aspects of structural biology, for example, crystallography of relatively low-resolution structures, in homology model building and in biomolecular NMR. Little is known, however, about the driving forces that lead to the preference or suitability of one rotamer over another. Construction of 3D hydropathic interaction maps for nearly 30,000 tyrosines reveals the environment around each, in terms of hydrophobic (\u03c0-\u03c0 stacking, etc.) and polar (hydrogen bonding, etc.) interactions. After partitioning the tyrosines into backbone-dependent (\u03d5, \u03c8) bins, a map similarity metric based on the correlation coefficient was applied to each map-map pair to build matrices suitable for clustering with k-means. The first bin (-200\u00b0 \u2264 \u03d5\u2009&lt;\u2009-155\u00b0; -205\u00b0 \u2264 \u03c8\u2009&lt;\u2009-160\u00b0), representing 631 tyrosines, reduced to 14 unique hydropathic environments, with most diversity arising from favorable hydrophobic interactions with many different residue partner types. Polar interactions for tyrosine include surprisingly ubiquitous hydrogen bonding with the phenolic OH and a handful of unique environments surrounding the tyrosine backbone. The memberships of all but one of the 14 environments are dominated (&gt;50%) by a single \u03c7(1)/\u03c7(2) rotamer. The last environment has weak or no interactions with the tyrosine ring and its \u03c7(1)/\u03c7(2) rotamer is indeterminate, which is consistent with it being composed of mostly surface residues. Each tyrosine residue attempts to fulfill its hydropathic valence and thus, structural water molecules are seen in a variety of roles throughout protein structure.", "author" : [ { "dropping-particle" : "", "family" : "Ahmed", "given" : "Mostafa H.", "non-dropping-particle" : "", "parse-names" : false, "suffix" : "" }, { "dropping-particle" : "", "family" : "Koparde", "given" : "Vishal N.", "non-dropping-particle" : "", "parse-names" : false, "suffix" : "" }, { "dropping-particle" : "", "family" : "Safo", "given" : "Martin K.", "non-dropping-particle" : "", "parse-names" : false, "suffix" : "" }, { "dropping-particle" : "", "family" : "Neel Scarsdale", "given" : "J.", "non-dropping-particle" : "", "parse-names" : false, "suffix" : "" }, { "dropping-particle" : "", "family" : "Kellogg", "given" : "Glen E.", "non-dropping-particle" : "", "parse-names" : false, "suffix" : "" } ], "container-title" : "Proteins: Structure, Function and Bioinformatics", "id" : "ITEM-1", "issue" : "6", "issued" : { "date-parts" : [ [ "2015" ] ] }, "page" : "1118-1136", "title" : "3D interaction homology: The structurally known rotamers of tyrosine derive from a surprisingly limited set of information-rich hydropathic interaction environments described by maps", "type" : "article-journal", "volume" : "83" }, "uris" : [ "http://www.mendeley.com/documents/?uuid=3a9765ff-e84e-4b59-95e2-5337b65d507d" ] } ], "mendeley" : { "formattedCitation" : "(Ahmed, Koparde, Safo, Neel Scarsdale, &amp; Kellogg, 2015)", "plainTextFormattedCitation" : "(Ahmed, Koparde, Safo, Neel Scarsdale, &amp; Kellogg, 2015)", "previouslyFormattedCitation" : "(Ahmed, Koparde, Safo, Neel Scarsdale, &amp; Kellogg, 2015)" }, "properties" : {  }, "schema" : "https://github.com/citation-style-language/schema/raw/master/csl-citation.json" }</w:instrText>
      </w:r>
      <w:r w:rsidR="00F56DDD">
        <w:rPr>
          <w:sz w:val="24"/>
        </w:rPr>
        <w:fldChar w:fldCharType="separate"/>
      </w:r>
      <w:r w:rsidR="00F56DDD" w:rsidRPr="00F56DDD">
        <w:rPr>
          <w:noProof/>
          <w:sz w:val="24"/>
        </w:rPr>
        <w:t>(Ahmed, Koparde, Safo, Neel Scarsdale, &amp; Kellogg, 2015)</w:t>
      </w:r>
      <w:r w:rsidR="00F56DDD">
        <w:rPr>
          <w:sz w:val="24"/>
        </w:rPr>
        <w:fldChar w:fldCharType="end"/>
      </w:r>
      <w:r w:rsidR="00E44E2B">
        <w:rPr>
          <w:sz w:val="24"/>
        </w:rPr>
        <w:t xml:space="preserve">. </w:t>
      </w:r>
    </w:p>
    <w:p w:rsidR="000F79D5" w:rsidRDefault="000F79D5" w:rsidP="00057801">
      <w:pPr>
        <w:rPr>
          <w:sz w:val="24"/>
        </w:rPr>
      </w:pPr>
    </w:p>
    <w:p w:rsidR="000F79D5" w:rsidRDefault="00036901" w:rsidP="00057801">
      <w:pPr>
        <w:rPr>
          <w:sz w:val="24"/>
        </w:rPr>
      </w:pPr>
      <w:r>
        <w:rPr>
          <w:sz w:val="24"/>
        </w:rPr>
        <w:t>Dr. Kellogg uses a slightly different approach to the homology approach. He uses a program that analyses the hydropathic interactions in a given molecule.</w:t>
      </w:r>
      <w:r>
        <w:rPr>
          <w:sz w:val="24"/>
        </w:rPr>
        <w:t xml:space="preserve"> </w:t>
      </w:r>
      <w:r w:rsidR="000F79D5">
        <w:rPr>
          <w:sz w:val="24"/>
        </w:rPr>
        <w:t xml:space="preserve">Kellogg’s paper uses his program </w:t>
      </w:r>
      <w:r w:rsidR="002A4D76">
        <w:rPr>
          <w:sz w:val="24"/>
        </w:rPr>
        <w:t>called</w:t>
      </w:r>
      <w:r w:rsidR="000F79D5">
        <w:rPr>
          <w:sz w:val="24"/>
        </w:rPr>
        <w:t xml:space="preserve"> HINT! (</w:t>
      </w:r>
      <w:r w:rsidR="000F79D5">
        <w:rPr>
          <w:sz w:val="24"/>
          <w:u w:val="single"/>
        </w:rPr>
        <w:t>h</w:t>
      </w:r>
      <w:r w:rsidR="000F79D5">
        <w:rPr>
          <w:sz w:val="24"/>
        </w:rPr>
        <w:t xml:space="preserve">ydropathic </w:t>
      </w:r>
      <w:r w:rsidR="000F79D5">
        <w:rPr>
          <w:sz w:val="24"/>
          <w:u w:val="single"/>
        </w:rPr>
        <w:t>int</w:t>
      </w:r>
      <w:r w:rsidR="000F79D5">
        <w:rPr>
          <w:sz w:val="24"/>
        </w:rPr>
        <w:t>eractions).</w:t>
      </w:r>
      <w:r w:rsidR="00F545D0">
        <w:rPr>
          <w:sz w:val="24"/>
        </w:rPr>
        <w:t xml:space="preserve"> It measures the hydropathic interactions within molecules. </w:t>
      </w:r>
      <w:r w:rsidR="00F40489">
        <w:rPr>
          <w:sz w:val="24"/>
        </w:rPr>
        <w:t>Hydropathic interactions are</w:t>
      </w:r>
      <w:r w:rsidR="00F545D0">
        <w:rPr>
          <w:sz w:val="24"/>
        </w:rPr>
        <w:t xml:space="preserve"> a group of interactions that is comprised of</w:t>
      </w:r>
      <w:r w:rsidR="00D13C53">
        <w:rPr>
          <w:sz w:val="24"/>
        </w:rPr>
        <w:t xml:space="preserve"> four types of interactions: favorable and unfavorable </w:t>
      </w:r>
      <w:r w:rsidR="00F545D0">
        <w:rPr>
          <w:sz w:val="24"/>
        </w:rPr>
        <w:t>hydrophobic interactions</w:t>
      </w:r>
      <w:r w:rsidR="00F40489">
        <w:rPr>
          <w:sz w:val="24"/>
        </w:rPr>
        <w:t>,</w:t>
      </w:r>
      <w:r w:rsidR="00F545D0">
        <w:rPr>
          <w:sz w:val="24"/>
        </w:rPr>
        <w:t xml:space="preserve"> and favorable and unfavorable polar interactions.</w:t>
      </w:r>
      <w:r w:rsidR="0060082E">
        <w:rPr>
          <w:sz w:val="24"/>
        </w:rPr>
        <w:t xml:space="preserve"> His </w:t>
      </w:r>
      <w:r w:rsidR="00F40489">
        <w:rPr>
          <w:sz w:val="24"/>
        </w:rPr>
        <w:t>paper</w:t>
      </w:r>
      <w:r w:rsidR="0060082E">
        <w:rPr>
          <w:sz w:val="24"/>
        </w:rPr>
        <w:t xml:space="preserve"> analyses almost 30,000 tyrosine residues in previously </w:t>
      </w:r>
      <w:r w:rsidR="0060082E">
        <w:rPr>
          <w:sz w:val="24"/>
        </w:rPr>
        <w:lastRenderedPageBreak/>
        <w:t>discovered protein</w:t>
      </w:r>
      <w:r w:rsidR="00F56DDD">
        <w:rPr>
          <w:sz w:val="24"/>
        </w:rPr>
        <w:t>s, then</w:t>
      </w:r>
      <w:r w:rsidR="002A4D76">
        <w:rPr>
          <w:sz w:val="24"/>
        </w:rPr>
        <w:t xml:space="preserve"> uses HINT</w:t>
      </w:r>
      <w:r w:rsidR="00A559D1">
        <w:rPr>
          <w:sz w:val="24"/>
        </w:rPr>
        <w:t xml:space="preserve"> </w:t>
      </w:r>
      <w:r w:rsidR="00F56DDD">
        <w:rPr>
          <w:sz w:val="24"/>
        </w:rPr>
        <w:t>to score</w:t>
      </w:r>
      <w:r w:rsidR="00A559D1">
        <w:rPr>
          <w:sz w:val="24"/>
        </w:rPr>
        <w:t xml:space="preserve"> the</w:t>
      </w:r>
      <w:r w:rsidR="005C4F1F">
        <w:rPr>
          <w:sz w:val="24"/>
        </w:rPr>
        <w:t xml:space="preserve"> </w:t>
      </w:r>
      <w:r w:rsidR="00A559D1">
        <w:rPr>
          <w:sz w:val="24"/>
        </w:rPr>
        <w:t xml:space="preserve">hydropathic interactions surrounding the </w:t>
      </w:r>
      <w:r w:rsidR="00F40489">
        <w:rPr>
          <w:sz w:val="24"/>
        </w:rPr>
        <w:t>tyrosines</w:t>
      </w:r>
      <w:r w:rsidR="0061419C">
        <w:rPr>
          <w:sz w:val="24"/>
        </w:rPr>
        <w:t xml:space="preserve"> illustrated in </w:t>
      </w:r>
      <w:r w:rsidR="0061419C">
        <w:rPr>
          <w:b/>
          <w:sz w:val="24"/>
        </w:rPr>
        <w:t>Fig. 1</w:t>
      </w:r>
      <w:r w:rsidR="0061419C">
        <w:rPr>
          <w:sz w:val="24"/>
        </w:rPr>
        <w:t xml:space="preserve"> </w:t>
      </w:r>
      <w:r w:rsidR="0061419C">
        <w:rPr>
          <w:sz w:val="24"/>
        </w:rPr>
        <w:fldChar w:fldCharType="begin" w:fldLock="1"/>
      </w:r>
      <w:r w:rsidR="0061419C">
        <w:rPr>
          <w:sz w:val="24"/>
        </w:rPr>
        <w:instrText>ADDIN CSL_CITATION { "citationItems" : [ { "id" : "ITEM-1", "itemData" : { "DOI" : "10.1002/prot.24813", "ISBN" : "9101202400986", "ISSN" : "10970134", "PMID" : "25900573", "abstract" : "Sidechain rotamer libraries are obtained through exhaustive statistical analysis of existing crystallographic structures of proteins and have been applied in multiple aspects of structural biology, for example, crystallography of relatively low-resolution structures, in homology model building and in biomolecular NMR. Little is known, however, about the driving forces that lead to the preference or suitability of one rotamer over another. Construction of 3D hydropathic interaction maps for nearly 30,000 tyrosines reveals the environment around each, in terms of hydrophobic (\u03c0-\u03c0 stacking, etc.) and polar (hydrogen bonding, etc.) interactions. After partitioning the tyrosines into backbone-dependent (\u03d5, \u03c8) bins, a map similarity metric based on the correlation coefficient was applied to each map-map pair to build matrices suitable for clustering with k-means. The first bin (-200\u00b0 \u2264 \u03d5\u2009&lt;\u2009-155\u00b0; -205\u00b0 \u2264 \u03c8\u2009&lt;\u2009-160\u00b0), representing 631 tyrosines, reduced to 14 unique hydropathic environments, with most diversity arising from favorable hydrophobic interactions with many different residue partner types. Polar interactions for tyrosine include surprisingly ubiquitous hydrogen bonding with the phenolic OH and a handful of unique environments surrounding the tyrosine backbone. The memberships of all but one of the 14 environments are dominated (&gt;50%) by a single \u03c7(1)/\u03c7(2) rotamer. The last environment has weak or no interactions with the tyrosine ring and its \u03c7(1)/\u03c7(2) rotamer is indeterminate, which is consistent with it being composed of mostly surface residues. Each tyrosine residue attempts to fulfill its hydropathic valence and thus, structural water molecules are seen in a variety of roles throughout protein structure.", "author" : [ { "dropping-particle" : "", "family" : "Ahmed", "given" : "Mostafa H.", "non-dropping-particle" : "", "parse-names" : false, "suffix" : "" }, { "dropping-particle" : "", "family" : "Koparde", "given" : "Vishal N.", "non-dropping-particle" : "", "parse-names" : false, "suffix" : "" }, { "dropping-particle" : "", "family" : "Safo", "given" : "Martin K.", "non-dropping-particle" : "", "parse-names" : false, "suffix" : "" }, { "dropping-particle" : "", "family" : "Neel Scarsdale", "given" : "J.", "non-dropping-particle" : "", "parse-names" : false, "suffix" : "" }, { "dropping-particle" : "", "family" : "Kellogg", "given" : "Glen E.", "non-dropping-particle" : "", "parse-names" : false, "suffix" : "" } ], "container-title" : "Proteins: Structure, Function and Bioinformatics", "id" : "ITEM-1", "issue" : "6", "issued" : { "date-parts" : [ [ "2015" ] ] }, "page" : "1118-1136", "title" : "3D interaction homology: The structurally known rotamers of tyrosine derive from a surprisingly limited set of information-rich hydropathic interaction environments described by maps", "type" : "article-journal", "volume" : "83" }, "uris" : [ "http://www.mendeley.com/documents/?uuid=3a9765ff-e84e-4b59-95e2-5337b65d507d" ] } ], "mendeley" : { "formattedCitation" : "(Ahmed et al., 2015)", "plainTextFormattedCitation" : "(Ahmed et al., 2015)", "previouslyFormattedCitation" : "(Ahmed et al., 2015)" }, "properties" : {  }, "schema" : "https://github.com/citation-style-language/schema/raw/master/csl-citation.json" }</w:instrText>
      </w:r>
      <w:r w:rsidR="0061419C">
        <w:rPr>
          <w:sz w:val="24"/>
        </w:rPr>
        <w:fldChar w:fldCharType="separate"/>
      </w:r>
      <w:r w:rsidR="0061419C" w:rsidRPr="0061419C">
        <w:rPr>
          <w:noProof/>
          <w:sz w:val="24"/>
        </w:rPr>
        <w:t>(Ahmed et al., 2015)</w:t>
      </w:r>
      <w:r w:rsidR="0061419C">
        <w:rPr>
          <w:sz w:val="24"/>
        </w:rPr>
        <w:fldChar w:fldCharType="end"/>
      </w:r>
      <w:r w:rsidR="00A559D1">
        <w:rPr>
          <w:sz w:val="24"/>
        </w:rPr>
        <w:t xml:space="preserve">. The key hypothesis was to analyze these residues to see if there </w:t>
      </w:r>
      <w:r w:rsidR="00F40489">
        <w:rPr>
          <w:sz w:val="24"/>
        </w:rPr>
        <w:t>are any recurring motifs</w:t>
      </w:r>
      <w:r w:rsidR="001C6C08">
        <w:rPr>
          <w:sz w:val="24"/>
        </w:rPr>
        <w:t>, and they found many using HINT and clustering methods.</w:t>
      </w:r>
    </w:p>
    <w:p w:rsidR="007575C1" w:rsidRDefault="009130CA" w:rsidP="00057801">
      <w:pPr>
        <w:rPr>
          <w:sz w:val="24"/>
        </w:rPr>
      </w:pPr>
      <w:r>
        <w:rPr>
          <w:noProof/>
          <w:lang w:eastAsia="ko-KR"/>
        </w:rPr>
        <w:drawing>
          <wp:anchor distT="0" distB="0" distL="114300" distR="114300" simplePos="0" relativeHeight="251658240" behindDoc="0" locked="0" layoutInCell="1" allowOverlap="1" wp14:anchorId="166AE369" wp14:editId="1DA2FF93">
            <wp:simplePos x="0" y="0"/>
            <wp:positionH relativeFrom="column">
              <wp:posOffset>3267075</wp:posOffset>
            </wp:positionH>
            <wp:positionV relativeFrom="paragraph">
              <wp:posOffset>-858520</wp:posOffset>
            </wp:positionV>
            <wp:extent cx="3190875" cy="151003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190875" cy="1510030"/>
                    </a:xfrm>
                    <a:prstGeom prst="rect">
                      <a:avLst/>
                    </a:prstGeom>
                  </pic:spPr>
                </pic:pic>
              </a:graphicData>
            </a:graphic>
            <wp14:sizeRelH relativeFrom="page">
              <wp14:pctWidth>0</wp14:pctWidth>
            </wp14:sizeRelH>
            <wp14:sizeRelV relativeFrom="page">
              <wp14:pctHeight>0</wp14:pctHeight>
            </wp14:sizeRelV>
          </wp:anchor>
        </w:drawing>
      </w:r>
    </w:p>
    <w:p w:rsidR="007575C1" w:rsidRDefault="009F5B16" w:rsidP="00057801">
      <w:pPr>
        <w:rPr>
          <w:sz w:val="24"/>
        </w:rPr>
      </w:pPr>
      <w:r w:rsidRPr="0061419C">
        <w:rPr>
          <w:noProof/>
          <w:sz w:val="24"/>
          <w:lang w:eastAsia="ko-KR"/>
        </w:rPr>
        <mc:AlternateContent>
          <mc:Choice Requires="wps">
            <w:drawing>
              <wp:anchor distT="0" distB="0" distL="114300" distR="114300" simplePos="0" relativeHeight="251664384" behindDoc="0" locked="0" layoutInCell="1" allowOverlap="1" wp14:anchorId="1133685F" wp14:editId="7C37C04D">
                <wp:simplePos x="0" y="0"/>
                <wp:positionH relativeFrom="column">
                  <wp:posOffset>3714750</wp:posOffset>
                </wp:positionH>
                <wp:positionV relativeFrom="paragraph">
                  <wp:posOffset>2964815</wp:posOffset>
                </wp:positionV>
                <wp:extent cx="2686050" cy="7905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790575"/>
                        </a:xfrm>
                        <a:prstGeom prst="rect">
                          <a:avLst/>
                        </a:prstGeom>
                        <a:solidFill>
                          <a:srgbClr val="FFFFFF"/>
                        </a:solidFill>
                        <a:ln w="9525">
                          <a:solidFill>
                            <a:srgbClr val="000000"/>
                          </a:solidFill>
                          <a:miter lim="800000"/>
                          <a:headEnd/>
                          <a:tailEnd/>
                        </a:ln>
                      </wps:spPr>
                      <wps:txbx>
                        <w:txbxContent>
                          <w:p w:rsidR="0061419C" w:rsidRPr="0061419C" w:rsidRDefault="0061419C">
                            <w:proofErr w:type="gramStart"/>
                            <w:r>
                              <w:rPr>
                                <w:b/>
                              </w:rPr>
                              <w:t>Figure 2.</w:t>
                            </w:r>
                            <w:proofErr w:type="gramEnd"/>
                            <w:r>
                              <w:t xml:space="preserve"> Locations of the phi-psi bonds in a peptide, note that the “R-group” represents the side chain, and the omega bond is the peptide bond.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5pt;margin-top:233.45pt;width:211.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">
                <v:textbox>
                  <w:txbxContent>
                    <w:p w:rsidR="0061419C" w:rsidRPr="0061419C" w:rsidRDefault="0061419C">
                      <w:proofErr w:type="gramStart"/>
                      <w:r>
                        <w:rPr>
                          <w:b/>
                        </w:rPr>
                        <w:t>Figure 2.</w:t>
                      </w:r>
                      <w:proofErr w:type="gramEnd"/>
                      <w:r>
                        <w:t xml:space="preserve"> Locations of the phi-psi bonds in a peptide, note that the “R-group” represents the side chain, and the omega bond is the peptide bond.</w:t>
                      </w:r>
                    </w:p>
                  </w:txbxContent>
                </v:textbox>
                <w10:wrap type="square"/>
              </v:shape>
            </w:pict>
          </mc:Fallback>
        </mc:AlternateContent>
      </w:r>
      <w:r w:rsidR="007C58B6">
        <w:rPr>
          <w:noProof/>
          <w:lang w:eastAsia="ko-KR"/>
        </w:rPr>
        <w:drawing>
          <wp:anchor distT="0" distB="0" distL="114300" distR="114300" simplePos="0" relativeHeight="251661312" behindDoc="0" locked="0" layoutInCell="1" allowOverlap="1" wp14:anchorId="01D9483B" wp14:editId="07B4B576">
            <wp:simplePos x="0" y="0"/>
            <wp:positionH relativeFrom="column">
              <wp:posOffset>3667760</wp:posOffset>
            </wp:positionH>
            <wp:positionV relativeFrom="paragraph">
              <wp:posOffset>3794760</wp:posOffset>
            </wp:positionV>
            <wp:extent cx="2543175" cy="245808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543175" cy="2458085"/>
                    </a:xfrm>
                    <a:prstGeom prst="rect">
                      <a:avLst/>
                    </a:prstGeom>
                  </pic:spPr>
                </pic:pic>
              </a:graphicData>
            </a:graphic>
            <wp14:sizeRelH relativeFrom="page">
              <wp14:pctWidth>0</wp14:pctWidth>
            </wp14:sizeRelH>
            <wp14:sizeRelV relativeFrom="page">
              <wp14:pctHeight>0</wp14:pctHeight>
            </wp14:sizeRelV>
          </wp:anchor>
        </w:drawing>
      </w:r>
      <w:r w:rsidR="0061419C">
        <w:rPr>
          <w:noProof/>
          <w:lang w:eastAsia="ko-KR"/>
        </w:rPr>
        <w:drawing>
          <wp:anchor distT="0" distB="0" distL="114300" distR="114300" simplePos="0" relativeHeight="251662336" behindDoc="0" locked="0" layoutInCell="1" allowOverlap="1" wp14:anchorId="3AA221EC" wp14:editId="78FC3217">
            <wp:simplePos x="0" y="0"/>
            <wp:positionH relativeFrom="column">
              <wp:posOffset>3771900</wp:posOffset>
            </wp:positionH>
            <wp:positionV relativeFrom="paragraph">
              <wp:posOffset>1165225</wp:posOffset>
            </wp:positionV>
            <wp:extent cx="2495550" cy="1742440"/>
            <wp:effectExtent l="0" t="0" r="0" b="0"/>
            <wp:wrapSquare wrapText="bothSides"/>
            <wp:docPr id="3" name="Picture 3" descr="Image result for phi psi 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hi psi angl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174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130CA" w:rsidRPr="009130CA">
        <w:rPr>
          <w:noProof/>
          <w:sz w:val="24"/>
          <w:lang w:eastAsia="ko-KR"/>
        </w:rPr>
        <mc:AlternateContent>
          <mc:Choice Requires="wps">
            <w:drawing>
              <wp:anchor distT="0" distB="0" distL="114300" distR="114300" simplePos="0" relativeHeight="251660288" behindDoc="0" locked="0" layoutInCell="1" allowOverlap="1" wp14:anchorId="7E1A8554" wp14:editId="5A79D3C9">
                <wp:simplePos x="0" y="0"/>
                <wp:positionH relativeFrom="column">
                  <wp:posOffset>3352800</wp:posOffset>
                </wp:positionH>
                <wp:positionV relativeFrom="paragraph">
                  <wp:posOffset>154940</wp:posOffset>
                </wp:positionV>
                <wp:extent cx="3048000" cy="1403985"/>
                <wp:effectExtent l="0" t="0" r="19050" b="1841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3985"/>
                        </a:xfrm>
                        <a:prstGeom prst="rect">
                          <a:avLst/>
                        </a:prstGeom>
                        <a:solidFill>
                          <a:srgbClr val="FFFFFF"/>
                        </a:solidFill>
                        <a:ln w="9525">
                          <a:solidFill>
                            <a:srgbClr val="000000"/>
                          </a:solidFill>
                          <a:miter lim="800000"/>
                          <a:headEnd/>
                          <a:tailEnd/>
                        </a:ln>
                      </wps:spPr>
                      <wps:txbx>
                        <w:txbxContent>
                          <w:p w:rsidR="009130CA" w:rsidRDefault="009130CA">
                            <w:proofErr w:type="gramStart"/>
                            <w:r>
                              <w:rPr>
                                <w:b/>
                              </w:rPr>
                              <w:t>Figure 1.</w:t>
                            </w:r>
                            <w:proofErr w:type="gramEnd"/>
                            <w:r>
                              <w:t xml:space="preserve"> </w:t>
                            </w:r>
                            <w:proofErr w:type="gramStart"/>
                            <w:r>
                              <w:t>An example of HINT scoring from the same Kellogg article.</w:t>
                            </w:r>
                            <w:proofErr w:type="gramEnd"/>
                            <w:r>
                              <w:t xml:space="preserve"> Blue and red contours represent polar interactions. And green and purple contours represent hydrophobic interactions.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64pt;margin-top:12.2pt;width:240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">
                <v:textbox style="mso-fit-shape-to-text:t">
                  <w:txbxContent>
                    <w:p w:rsidR="009130CA" w:rsidRDefault="009130CA">
                      <w:proofErr w:type="gramStart"/>
                      <w:r>
                        <w:rPr>
                          <w:b/>
                        </w:rPr>
                        <w:t>Figure 1.</w:t>
                      </w:r>
                      <w:proofErr w:type="gramEnd"/>
                      <w:r>
                        <w:t xml:space="preserve"> </w:t>
                      </w:r>
                      <w:proofErr w:type="gramStart"/>
                      <w:r>
                        <w:t>An example of HINT scoring from the same Kellogg article.</w:t>
                      </w:r>
                      <w:proofErr w:type="gramEnd"/>
                      <w:r>
                        <w:t xml:space="preserve"> Blue and red contours represent polar interactions. And green and purple contours represent hydrophobic interactions.</w:t>
                      </w:r>
                    </w:p>
                  </w:txbxContent>
                </v:textbox>
                <w10:wrap type="square"/>
              </v:shape>
            </w:pict>
          </mc:Fallback>
        </mc:AlternateContent>
      </w:r>
      <w:r w:rsidR="007575C1">
        <w:rPr>
          <w:sz w:val="24"/>
        </w:rPr>
        <w:t xml:space="preserve">Tyrosines are plotted on a Ramachandran </w:t>
      </w:r>
      <w:r w:rsidR="00B70398">
        <w:rPr>
          <w:sz w:val="24"/>
        </w:rPr>
        <w:t>plot</w:t>
      </w:r>
      <w:r w:rsidR="007575C1">
        <w:rPr>
          <w:sz w:val="24"/>
        </w:rPr>
        <w:t xml:space="preserve"> based on their phi-psi </w:t>
      </w:r>
      <w:r w:rsidR="0061419C">
        <w:rPr>
          <w:sz w:val="24"/>
        </w:rPr>
        <w:t xml:space="preserve">bond </w:t>
      </w:r>
      <w:r w:rsidR="007575C1">
        <w:rPr>
          <w:sz w:val="24"/>
        </w:rPr>
        <w:t>angles</w:t>
      </w:r>
      <w:r w:rsidR="0061419C">
        <w:rPr>
          <w:sz w:val="24"/>
        </w:rPr>
        <w:t xml:space="preserve">, this is illustrated in </w:t>
      </w:r>
      <w:r w:rsidR="0061419C">
        <w:rPr>
          <w:b/>
          <w:sz w:val="24"/>
        </w:rPr>
        <w:t>Fig. 2</w:t>
      </w:r>
      <w:r w:rsidR="0061419C">
        <w:rPr>
          <w:sz w:val="24"/>
        </w:rPr>
        <w:t xml:space="preserve"> </w:t>
      </w:r>
      <w:r w:rsidR="0061419C">
        <w:rPr>
          <w:sz w:val="24"/>
        </w:rPr>
        <w:fldChar w:fldCharType="begin" w:fldLock="1"/>
      </w:r>
      <w:r w:rsidR="0061419C">
        <w:rPr>
          <w:sz w:val="24"/>
        </w:rPr>
        <w:instrText>ADDIN CSL_CITATION { "citationItems" : [ { "id" : "ITEM-1", "itemData" : { "URL" : "http://www.biochem.ucl.ac.uk/~martin/c40/peptide.html", "id" : "ITEM-1", "issued" : { "date-parts" : [ [ "0" ] ] }, "title" : "Peptide Bonds and Protein Backbones", "type" : "webpage" }, "uris" : [ "http://www.mendeley.com/documents/?uuid=5eb3b9af-d7d2-451d-a4db-f997dd29183f" ] } ], "mendeley" : { "formattedCitation" : "(\u201cPeptide Bonds and Protein Backbones,\u201d n.d.)", "plainTextFormattedCitation" : "(\u201cPeptide Bonds and Protein Backbones,\u201d n.d.)", "previouslyFormattedCitation" : "(\u201cPeptide Bonds and Protein Backbones,\u201d n.d.)" }, "properties" : {  }, "schema" : "https://github.com/citation-style-language/schema/raw/master/csl-citation.json" }</w:instrText>
      </w:r>
      <w:r w:rsidR="0061419C">
        <w:rPr>
          <w:sz w:val="24"/>
        </w:rPr>
        <w:fldChar w:fldCharType="separate"/>
      </w:r>
      <w:r w:rsidR="0061419C" w:rsidRPr="0061419C">
        <w:rPr>
          <w:noProof/>
          <w:sz w:val="24"/>
        </w:rPr>
        <w:t>(“Peptide Bonds and Protein Backbones,” n.d.)</w:t>
      </w:r>
      <w:r w:rsidR="0061419C">
        <w:rPr>
          <w:sz w:val="24"/>
        </w:rPr>
        <w:fldChar w:fldCharType="end"/>
      </w:r>
      <w:r w:rsidR="007575C1">
        <w:rPr>
          <w:sz w:val="24"/>
        </w:rPr>
        <w:t xml:space="preserve">. </w:t>
      </w:r>
      <w:r w:rsidR="00B70398">
        <w:rPr>
          <w:sz w:val="24"/>
        </w:rPr>
        <w:t xml:space="preserve">A Ramachandran plot is a graph that contains the phi angle as the x-axis, and the psi angle as the y-axis, and is effectively used to predict secondary structure based on those two bond angles of a given residue </w:t>
      </w:r>
      <w:r w:rsidR="00B70398">
        <w:rPr>
          <w:sz w:val="24"/>
        </w:rPr>
        <w:fldChar w:fldCharType="begin" w:fldLock="1"/>
      </w:r>
      <w:r w:rsidR="00B70398">
        <w:rPr>
          <w:sz w:val="24"/>
        </w:rPr>
        <w:instrText>ADDIN CSL_CITATION { "citationItems" : [ { "id" : "ITEM-1", "itemData" : { "DOI" : "10.1016/S0022-2836(63)80023-6", "ISBN" : "0022-2836", "ISSN" : "00222836", "PMID" : "13990617", "abstract" : "Various types of polypeptide chain configurations have been proposed in recent years for proteins as well as polypeptides, e.g. the well-known o-helix for the k-m-e-fproteins, the extended ,a-chain for silk fibroin, and various structures for simple cyclic peptides having 6 to 10 residues. However, there appears to be no analytical method of writing down these configurations. In connection with the studies on collagen carried out in this laboratory (Ramachandran &amp; Sasisekharan, 1961a,b; Ramachandran, Sasisek- haran &amp; Thathachari, 1962), the authors worked out a convenient notation of this type and this is briefly described here. Fuller details are being published elsewhere (Ramachandran, 1962; Sasisekharan, 1962; Ramakrishnan, 1963). In", "author" : [ { "dropping-particle" : "", "family" : "Ramachandran", "given" : "G. N.", "non-dropping-particle" : "", "parse-names" : false, "suffix" : "" }, { "dropping-particle" : "", "family" : "Ramakrishnan", "given" : "C.", "non-dropping-particle" : "", "parse-names" : false, "suffix" : "" }, { "dropping-particle" : "", "family" : "Sasisekharan", "given" : "V.", "non-dropping-particle" : "", "parse-names" : false, "suffix" : "" } ], "container-title" : "Journal of Molecular Biology", "id" : "ITEM-1", "issue" : "1", "issued" : { "date-parts" : [ [ "1963" ] ] }, "page" : "95-99", "publisher" : "Academic Press Inc. (London) Ltd.", "title" : "Stereochemistry of polypeptide chain configurations", "type" : "article-journal", "volume" : "7" }, "uris" : [ "http://www.mendeley.com/documents/?uuid=1801c44c-fe8f-4f0a-bdce-4ee2bd2ad4bc" ] } ], "mendeley" : { "formattedCitation" : "(Ramachandran, Ramakrishnan, &amp; Sasisekharan, 1963)", "plainTextFormattedCitation" : "(Ramachandran, Ramakrishnan, &amp; Sasisekharan, 1963)", "previouslyFormattedCitation" : "(Ramachandran, Ramakrishnan, &amp; Sasisekharan, 1963)" }, "properties" : {  }, "schema" : "https://github.com/citation-style-language/schema/raw/master/csl-citation.json" }</w:instrText>
      </w:r>
      <w:r w:rsidR="00B70398">
        <w:rPr>
          <w:sz w:val="24"/>
        </w:rPr>
        <w:fldChar w:fldCharType="separate"/>
      </w:r>
      <w:r w:rsidR="00B70398" w:rsidRPr="00B70398">
        <w:rPr>
          <w:noProof/>
          <w:sz w:val="24"/>
        </w:rPr>
        <w:t>(Ramachandran, Ramakrishnan, &amp; Sasisekharan, 1963)</w:t>
      </w:r>
      <w:r w:rsidR="00B70398">
        <w:rPr>
          <w:sz w:val="24"/>
        </w:rPr>
        <w:fldChar w:fldCharType="end"/>
      </w:r>
      <w:r w:rsidR="00B70398">
        <w:rPr>
          <w:sz w:val="24"/>
        </w:rPr>
        <w:t xml:space="preserve">. </w:t>
      </w:r>
      <w:r w:rsidR="007575C1">
        <w:rPr>
          <w:sz w:val="24"/>
        </w:rPr>
        <w:t>Once the plot is complete</w:t>
      </w:r>
      <w:r w:rsidR="0024265A">
        <w:rPr>
          <w:sz w:val="24"/>
        </w:rPr>
        <w:t>, the plot is divided into 64 chest squares based on the phi-psi angles</w:t>
      </w:r>
      <w:r w:rsidR="005B7007">
        <w:rPr>
          <w:sz w:val="24"/>
        </w:rPr>
        <w:t xml:space="preserve"> </w:t>
      </w:r>
      <w:r w:rsidR="0024265A">
        <w:rPr>
          <w:sz w:val="24"/>
        </w:rPr>
        <w:t>Kellogg’s paper only looks at the a1</w:t>
      </w:r>
      <w:r w:rsidR="00A110A9">
        <w:rPr>
          <w:sz w:val="24"/>
        </w:rPr>
        <w:t xml:space="preserve"> chest square. </w:t>
      </w:r>
      <w:r w:rsidR="00300C85">
        <w:rPr>
          <w:sz w:val="24"/>
        </w:rPr>
        <w:t xml:space="preserve">The Ramachandran plot used in his paper is </w:t>
      </w:r>
      <w:r w:rsidR="00300C85">
        <w:rPr>
          <w:b/>
          <w:sz w:val="24"/>
        </w:rPr>
        <w:t xml:space="preserve">Fig. 3 </w:t>
      </w:r>
      <w:r w:rsidR="00300C85">
        <w:rPr>
          <w:b/>
          <w:sz w:val="24"/>
        </w:rPr>
        <w:fldChar w:fldCharType="begin" w:fldLock="1"/>
      </w:r>
      <w:r w:rsidR="00300C85">
        <w:rPr>
          <w:b/>
          <w:sz w:val="24"/>
        </w:rPr>
        <w:instrText>ADDIN CSL_CITATION { "citationItems" : [ { "id" : "ITEM-1", "itemData" : { "DOI" : "10.1002/prot.24813", "ISBN" : "9101202400986", "ISSN" : "10970134", "PMID" : "25900573", "abstract" : "Sidechain rotamer libraries are obtained through exhaustive statistical analysis of existing crystallographic structures of proteins and have been applied in multiple aspects of structural biology, for example, crystallography of relatively low-resolution structures, in homology model building and in biomolecular NMR. Little is known, however, about the driving forces that lead to the preference or suitability of one rotamer over another. Construction of 3D hydropathic interaction maps for nearly 30,000 tyrosines reveals the environment around each, in terms of hydrophobic (\u03c0-\u03c0 stacking, etc.) and polar (hydrogen bonding, etc.) interactions. After partitioning the tyrosines into backbone-dependent (\u03d5, \u03c8) bins, a map similarity metric based on the correlation coefficient was applied to each map-map pair to build matrices suitable for clustering with k-means. The first bin (-200\u00b0 \u2264 \u03d5\u2009&lt;\u2009-155\u00b0; -205\u00b0 \u2264 \u03c8\u2009&lt;\u2009-160\u00b0), representing 631 tyrosines, reduced to 14 unique hydropathic environments, with most diversity arising from favorable hydrophobic interactions with many different residue partner types. Polar interactions for tyrosine include surprisingly ubiquitous hydrogen bonding with the phenolic OH and a handful of unique environments surrounding the tyrosine backbone. The memberships of all but one of the 14 environments are dominated (&gt;50%) by a single \u03c7(1)/\u03c7(2) rotamer. The last environment has weak or no interactions with the tyrosine ring and its \u03c7(1)/\u03c7(2) rotamer is indeterminate, which is consistent with it being composed of mostly surface residues. Each tyrosine residue attempts to fulfill its hydropathic valence and thus, structural water molecules are seen in a variety of roles throughout protein structure.", "author" : [ { "dropping-particle" : "", "family" : "Ahmed", "given" : "Mostafa H.", "non-dropping-particle" : "", "parse-names" : false, "suffix" : "" }, { "dropping-particle" : "", "family" : "Koparde", "given" : "Vishal N.", "non-dropping-particle" : "", "parse-names" : false, "suffix" : "" }, { "dropping-particle" : "", "family" : "Safo", "given" : "Martin K.", "non-dropping-particle" : "", "parse-names" : false, "suffix" : "" }, { "dropping-particle" : "", "family" : "Neel Scarsdale", "given" : "J.", "non-dropping-particle" : "", "parse-names" : false, "suffix" : "" }, { "dropping-particle" : "", "family" : "Kellogg", "given" : "Glen E.", "non-dropping-particle" : "", "parse-names" : false, "suffix" : "" } ], "container-title" : "Proteins: Structure, Function and Bioinformatics", "id" : "ITEM-1", "issue" : "6", "issued" : { "date-parts" : [ [ "2015" ] ] }, "page" : "1118-1136", "title" : "3D interaction homology: The structurally known rotamers of tyrosine derive from a surprisingly limited set of information-rich hydropathic interaction environments described by maps", "type" : "article-journal", "volume" : "83" }, "uris" : [ "http://www.mendeley.com/documents/?uuid=3a9765ff-e84e-4b59-95e2-5337b65d507d" ] } ], "mendeley" : { "formattedCitation" : "(Ahmed et al., 2015)", "plainTextFormattedCitation" : "(Ahmed et al., 2015)", "previouslyFormattedCitation" : "(Ahmed et al., 2015)" }, "properties" : {  }, "schema" : "https://github.com/citation-style-language/schema/raw/master/csl-citation.json" }</w:instrText>
      </w:r>
      <w:r w:rsidR="00300C85">
        <w:rPr>
          <w:b/>
          <w:sz w:val="24"/>
        </w:rPr>
        <w:fldChar w:fldCharType="separate"/>
      </w:r>
      <w:r w:rsidR="00300C85" w:rsidRPr="00300C85">
        <w:rPr>
          <w:noProof/>
          <w:sz w:val="24"/>
        </w:rPr>
        <w:t>(Ahmed et al., 2015)</w:t>
      </w:r>
      <w:r w:rsidR="00300C85">
        <w:rPr>
          <w:b/>
          <w:sz w:val="24"/>
        </w:rPr>
        <w:fldChar w:fldCharType="end"/>
      </w:r>
      <w:r w:rsidR="00300C85">
        <w:rPr>
          <w:sz w:val="24"/>
        </w:rPr>
        <w:t>. My experiment u</w:t>
      </w:r>
      <w:bookmarkStart w:id="0" w:name="_GoBack"/>
      <w:bookmarkEnd w:id="0"/>
      <w:r w:rsidR="00300C85">
        <w:rPr>
          <w:sz w:val="24"/>
        </w:rPr>
        <w:t xml:space="preserve">ses the data from the d4 square. </w:t>
      </w:r>
      <w:r w:rsidR="00A110A9" w:rsidRPr="00300C85">
        <w:rPr>
          <w:sz w:val="24"/>
        </w:rPr>
        <w:t>Once</w:t>
      </w:r>
      <w:r w:rsidR="0024265A">
        <w:rPr>
          <w:sz w:val="24"/>
        </w:rPr>
        <w:t xml:space="preserve"> tyrosines have been sorted based on their phi-psi angles, they are clustered into hypothetical “motifs” based on their similarity metrics.</w:t>
      </w:r>
      <w:r w:rsidR="00C72DA7">
        <w:rPr>
          <w:sz w:val="24"/>
        </w:rPr>
        <w:t xml:space="preserve"> The a1 chest square produced 14 unique clusters which are analyzed in the paper. In summary, his research proposes that for the given phi-psi tyrosine angles in that chest square, there </w:t>
      </w:r>
      <w:proofErr w:type="gramStart"/>
      <w:r w:rsidR="00C72DA7">
        <w:rPr>
          <w:sz w:val="24"/>
        </w:rPr>
        <w:t xml:space="preserve">are only 14 possible conformations that </w:t>
      </w:r>
      <w:r w:rsidR="00C72DA7" w:rsidRPr="008F384B">
        <w:rPr>
          <w:sz w:val="24"/>
        </w:rPr>
        <w:t>tyrosine</w:t>
      </w:r>
      <w:proofErr w:type="gramEnd"/>
      <w:r w:rsidR="00C72DA7" w:rsidRPr="008F384B">
        <w:rPr>
          <w:sz w:val="24"/>
        </w:rPr>
        <w:t xml:space="preserve"> can take on. This is significant because despite the fact that there may be near infinite</w:t>
      </w:r>
      <w:r w:rsidR="00C72DA7">
        <w:rPr>
          <w:sz w:val="24"/>
        </w:rPr>
        <w:t xml:space="preserve"> possibil</w:t>
      </w:r>
      <w:r w:rsidR="00643057">
        <w:rPr>
          <w:sz w:val="24"/>
        </w:rPr>
        <w:t>ities of primary sequence, this suggests there</w:t>
      </w:r>
      <w:r w:rsidR="00C72DA7">
        <w:rPr>
          <w:sz w:val="24"/>
        </w:rPr>
        <w:t xml:space="preserve"> is a </w:t>
      </w:r>
      <w:r w:rsidR="00C72DA7">
        <w:rPr>
          <w:i/>
          <w:sz w:val="24"/>
        </w:rPr>
        <w:t>limited</w:t>
      </w:r>
      <w:r w:rsidR="00C72DA7">
        <w:rPr>
          <w:sz w:val="24"/>
        </w:rPr>
        <w:t xml:space="preserve"> number of possibilities a secondary structure may take on. And that is something worth pursuing.</w:t>
      </w:r>
    </w:p>
    <w:p w:rsidR="00E62384" w:rsidRDefault="00E62384" w:rsidP="00057801">
      <w:pPr>
        <w:rPr>
          <w:sz w:val="24"/>
        </w:rPr>
      </w:pPr>
    </w:p>
    <w:p w:rsidR="00E62384" w:rsidRDefault="00E62384" w:rsidP="00057801">
      <w:pPr>
        <w:rPr>
          <w:sz w:val="24"/>
        </w:rPr>
      </w:pPr>
      <w:r>
        <w:rPr>
          <w:sz w:val="24"/>
        </w:rPr>
        <w:t>In my experiment, I would like to look at Phenylalanine and compare it to the Tyrosine results found in Kellogg’s paper. I have chosen to examine Phenylalanine because it is very similar to tyrosine. The goal of my experiment to build on Kellogg’s research and possibly pave the way to the next big paper.</w:t>
      </w:r>
    </w:p>
    <w:p w:rsidR="00E62384" w:rsidRDefault="00E62384" w:rsidP="00057801">
      <w:pPr>
        <w:rPr>
          <w:sz w:val="24"/>
        </w:rPr>
      </w:pPr>
    </w:p>
    <w:p w:rsidR="00E62384" w:rsidRDefault="007C58B6" w:rsidP="00057801">
      <w:pPr>
        <w:rPr>
          <w:sz w:val="24"/>
        </w:rPr>
      </w:pPr>
      <w:r w:rsidRPr="007C58B6">
        <w:rPr>
          <w:noProof/>
          <w:sz w:val="24"/>
          <w:lang w:eastAsia="ko-KR"/>
        </w:rPr>
        <mc:AlternateContent>
          <mc:Choice Requires="wps">
            <w:drawing>
              <wp:anchor distT="0" distB="0" distL="114300" distR="114300" simplePos="0" relativeHeight="251666432" behindDoc="0" locked="0" layoutInCell="1" allowOverlap="1" wp14:anchorId="0EBEB1FF" wp14:editId="44BF2D4C">
                <wp:simplePos x="0" y="0"/>
                <wp:positionH relativeFrom="column">
                  <wp:posOffset>3267075</wp:posOffset>
                </wp:positionH>
                <wp:positionV relativeFrom="paragraph">
                  <wp:posOffset>-8255</wp:posOffset>
                </wp:positionV>
                <wp:extent cx="2819400" cy="6000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600075"/>
                        </a:xfrm>
                        <a:prstGeom prst="rect">
                          <a:avLst/>
                        </a:prstGeom>
                        <a:solidFill>
                          <a:srgbClr val="FFFFFF"/>
                        </a:solidFill>
                        <a:ln w="9525">
                          <a:solidFill>
                            <a:srgbClr val="000000"/>
                          </a:solidFill>
                          <a:miter lim="800000"/>
                          <a:headEnd/>
                          <a:tailEnd/>
                        </a:ln>
                      </wps:spPr>
                      <wps:txbx>
                        <w:txbxContent>
                          <w:p w:rsidR="007C58B6" w:rsidRPr="007C58B6" w:rsidRDefault="007C58B6">
                            <w:proofErr w:type="gramStart"/>
                            <w:r>
                              <w:rPr>
                                <w:b/>
                              </w:rPr>
                              <w:t>Figure 3.</w:t>
                            </w:r>
                            <w:proofErr w:type="gramEnd"/>
                            <w:r>
                              <w:t xml:space="preserve"> </w:t>
                            </w:r>
                            <w:proofErr w:type="gramStart"/>
                            <w:r>
                              <w:t>The Ramachandran plot from Dr. Kellogg’s paper.</w:t>
                            </w:r>
                            <w:proofErr w:type="gramEnd"/>
                            <w:r>
                              <w:t xml:space="preserve"> My experiment uses this data from the d4 chest square.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7.25pt;margin-top:-.65pt;width:222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">
                <v:textbox>
                  <w:txbxContent>
                    <w:p w:rsidR="007C58B6" w:rsidRPr="007C58B6" w:rsidRDefault="007C58B6">
                      <w:proofErr w:type="gramStart"/>
                      <w:r>
                        <w:rPr>
                          <w:b/>
                        </w:rPr>
                        <w:t>Figure 3.</w:t>
                      </w:r>
                      <w:proofErr w:type="gramEnd"/>
                      <w:r>
                        <w:t xml:space="preserve"> </w:t>
                      </w:r>
                      <w:proofErr w:type="gramStart"/>
                      <w:r>
                        <w:t>The Ramachandran plot from Dr. Kellogg’s paper.</w:t>
                      </w:r>
                      <w:proofErr w:type="gramEnd"/>
                      <w:r>
                        <w:t xml:space="preserve"> My experiment uses this data from the d4 chest square.</w:t>
                      </w:r>
                    </w:p>
                  </w:txbxContent>
                </v:textbox>
                <w10:wrap type="square"/>
              </v:shape>
            </w:pict>
          </mc:Fallback>
        </mc:AlternateContent>
      </w:r>
      <w:r w:rsidR="00E061FC">
        <w:rPr>
          <w:sz w:val="24"/>
        </w:rPr>
        <w:t xml:space="preserve">This proposal looks at Tyrosine’s and Phenylalanine’s in the d4 </w:t>
      </w:r>
      <w:proofErr w:type="spellStart"/>
      <w:r w:rsidR="00E061FC">
        <w:rPr>
          <w:sz w:val="24"/>
        </w:rPr>
        <w:t>ramachandran</w:t>
      </w:r>
      <w:proofErr w:type="spellEnd"/>
      <w:r w:rsidR="00E061FC">
        <w:rPr>
          <w:sz w:val="24"/>
        </w:rPr>
        <w:t xml:space="preserve"> chest </w:t>
      </w:r>
      <w:r w:rsidR="00E061FC">
        <w:rPr>
          <w:sz w:val="24"/>
        </w:rPr>
        <w:lastRenderedPageBreak/>
        <w:t>square. Doing Kellogg’s experiment with Phenylalanine would likely produce novel results. Yet would be too ambitious to say I could handle, and it wouldn’t be original, invalidating the goal of this</w:t>
      </w:r>
      <w:r w:rsidR="000369E7">
        <w:rPr>
          <w:sz w:val="24"/>
        </w:rPr>
        <w:t xml:space="preserve"> semester long project. The d4 R</w:t>
      </w:r>
      <w:r w:rsidR="00E061FC">
        <w:rPr>
          <w:sz w:val="24"/>
        </w:rPr>
        <w:t>amachandran plot predicts a right handed alpha helix as the secondary structure with the given phi-psi angles. So my experiment effectively focuses in on tyrosine</w:t>
      </w:r>
      <w:r w:rsidR="000369E7">
        <w:rPr>
          <w:sz w:val="24"/>
        </w:rPr>
        <w:t>s</w:t>
      </w:r>
      <w:r w:rsidR="00E061FC">
        <w:rPr>
          <w:sz w:val="24"/>
        </w:rPr>
        <w:t xml:space="preserve"> and phenylalanine</w:t>
      </w:r>
      <w:r w:rsidR="000369E7">
        <w:rPr>
          <w:sz w:val="24"/>
        </w:rPr>
        <w:t>s</w:t>
      </w:r>
      <w:r w:rsidR="00E061FC">
        <w:rPr>
          <w:sz w:val="24"/>
        </w:rPr>
        <w:t xml:space="preserve"> in right handed alpha helices. I chose the d4 square because out of all of </w:t>
      </w:r>
      <w:r w:rsidR="000369E7">
        <w:rPr>
          <w:sz w:val="24"/>
        </w:rPr>
        <w:t>K</w:t>
      </w:r>
      <w:r w:rsidR="00E061FC">
        <w:rPr>
          <w:sz w:val="24"/>
        </w:rPr>
        <w:t xml:space="preserve">ellogg’s data, the d4 square had the most tyrosines fall into </w:t>
      </w:r>
      <w:proofErr w:type="gramStart"/>
      <w:r w:rsidR="00E061FC">
        <w:rPr>
          <w:sz w:val="24"/>
        </w:rPr>
        <w:t>it,</w:t>
      </w:r>
      <w:proofErr w:type="gramEnd"/>
      <w:r w:rsidR="00E061FC">
        <w:rPr>
          <w:sz w:val="24"/>
        </w:rPr>
        <w:t xml:space="preserve"> likewise </w:t>
      </w:r>
      <w:r w:rsidR="00201A62">
        <w:rPr>
          <w:sz w:val="24"/>
        </w:rPr>
        <w:t>it has the most phenylalanines in it too</w:t>
      </w:r>
      <w:r w:rsidR="00E749E1">
        <w:rPr>
          <w:sz w:val="24"/>
        </w:rPr>
        <w:t xml:space="preserve">. So in theory it gives me the most data available to work with, and </w:t>
      </w:r>
      <w:r w:rsidR="00883BD9">
        <w:rPr>
          <w:sz w:val="24"/>
        </w:rPr>
        <w:t xml:space="preserve">when </w:t>
      </w:r>
      <w:r w:rsidR="00E749E1">
        <w:rPr>
          <w:sz w:val="24"/>
        </w:rPr>
        <w:t xml:space="preserve">it comes to statistical analyses, </w:t>
      </w:r>
      <w:r w:rsidR="00A96DB2">
        <w:rPr>
          <w:sz w:val="24"/>
        </w:rPr>
        <w:t xml:space="preserve">a bigger sample </w:t>
      </w:r>
      <w:r w:rsidR="00E749E1">
        <w:rPr>
          <w:sz w:val="24"/>
        </w:rPr>
        <w:t>helps predict a more ac</w:t>
      </w:r>
      <w:r w:rsidR="001016D0">
        <w:rPr>
          <w:sz w:val="24"/>
        </w:rPr>
        <w:t>curate population parameter.</w:t>
      </w:r>
    </w:p>
    <w:p w:rsidR="00E749E1" w:rsidRDefault="00E749E1" w:rsidP="00057801">
      <w:pPr>
        <w:rPr>
          <w:sz w:val="24"/>
        </w:rPr>
      </w:pPr>
    </w:p>
    <w:p w:rsidR="00E749E1" w:rsidRDefault="00E749E1" w:rsidP="00057801">
      <w:pPr>
        <w:rPr>
          <w:sz w:val="24"/>
        </w:rPr>
      </w:pPr>
      <w:r>
        <w:rPr>
          <w:sz w:val="24"/>
        </w:rPr>
        <w:t>Nothing has been previously done to analyze these two amino acids in right handed alpha helices, however, I found papers describing a general composition of amino acids in alpha helices as well as their general locations</w:t>
      </w:r>
      <w:r w:rsidR="00FF29B2">
        <w:rPr>
          <w:sz w:val="24"/>
        </w:rPr>
        <w:t xml:space="preserve"> </w:t>
      </w:r>
      <w:r w:rsidR="00FF29B2">
        <w:rPr>
          <w:sz w:val="24"/>
        </w:rPr>
        <w:fldChar w:fldCharType="begin" w:fldLock="1"/>
      </w:r>
      <w:r w:rsidR="00FF29B2">
        <w:rPr>
          <w:sz w:val="24"/>
        </w:rPr>
        <w:instrText>ADDIN CSL_CITATION { "citationItems" : [ { "id" : "ITEM-1", "itemData" : { "DOI" : "10.1016/S0005-2736(01)00299-1", "ISBN" : "0006-3002 (Print)\\r0006-3002 (Linking)", "ISSN" : "0006-3002", "PMID" : "11334619", "abstract" : "Advances in structure determination of membrane proteins enable analysis of the propensities of amino acids in extramembrane versus transmembrane locations to be performed on the basis of structure rather than of sequence and predicted topology. Using 29 available structures of integral membrane proteins with resolutions better than 4 A the distributions of amino acids in the transmembrane domains were calculated. The results were compared to analysis based on just the sequences of the same transmembrane alpha-helices and significant differences were found. The distribution of residues between transmembrane alpha-helices and beta-strands was also compared. Large hydrophobic (Phe, Leu, Ile, Val) residues showed a clear preference for the protein surfaces facing the lipids for beta-barrels, but in alpha-helical proteins no such preference was seen, with these residues equally distributed between the interior and the surface of the protein. A notable exception to this was alanine, which showed a slight preference for the interior of alpha-helical membrane proteins. Aromatic residues were found to follow saddle-like distributions preferring to be located in the lipid/water interfaces. The resultant 'aromatic belts' were spaced more closely for beta-barrel than for alpha-helical membrane proteins. Charged residues could be shown to generally avoid surfaces facing the bilayer although they were found to occur frequently in the transmembrane region of beta-barrels. Indeed detailed comparison between alpha-helical and beta-barrel proteins showed many qualitative differences in residue distributions. This suggests that there may be subtle differences in the factors stabilising beta-barrels in bacterial outer membranes and alpha-helix bundles in all other membranes.", "author" : [ { "dropping-particle" : "", "family" : "Ulmschneider", "given" : "M B", "non-dropping-particle" : "", "parse-names" : false, "suffix" : "" }, { "dropping-particle" : "", "family" : "Sansom", "given" : "Mark S. P.", "non-dropping-particle" : "", "parse-names" : false, "suffix" : "" } ], "container-title" : "Biochim Biophys Acta", "id" : "ITEM-1", "issue" : "1", "issued" : { "date-parts" : [ [ "2001" ] ] }, "page" : "1-14", "title" : "Amino acid distributions in integral membrane protein structures", "type" : "article-journal", "volume" : "1512" }, "uris" : [ "http://www.mendeley.com/documents/?uuid=7df8408b-93f4-497a-9f15-f8d186a11812" ] }, { "id" : "ITEM-2", "itemData" : { "DOI" : "10.1016/S0006-3495(98)77529-0", "ISBN" : "0006-3495", "ISSN" : "00063495", "PMID" : "9649402", "abstract" : "The average globular protein contains 30% alpha-helix, the most common type of secondary structure. Some amino acids occur more frequently in alpha-helices than others; this tendency is known as helix propensity. Here we derive a helix propensity scale for solvent-exposed residues in the middle positions of alpha-helices. The scale is based on measurements of helix propensity in 11 systems, including both proteins and peptides. Alanine has the highest helix propensity, and, excluding proline, glycine has the lowest, approximately 1 kcal/mol less favorable than alanine. Based on our analysis, the helix propensities of the amino acids are as follows (kcal/mol): Ala = 0, Leu = 0.21, Arg = 0.21, Met = 0.24, Lys = 0.26, Gln = 0.39, Glu = 0.40, Ile = 0.41, Trp = 0.49, Ser = 0.50, Tyr = 0. 53, Phe = 0.54, Val = 0.61, His = 0.61, Asn = 0.65, Thr = 0.66, Cys = 0.68, Asp = 0.69, and Gly = 1.", "author" : [ { "dropping-particle" : "", "family" : "Pace", "given" : "C N", "non-dropping-particle" : "", "parse-names" : false, "suffix" : "" }, { "dropping-particle" : "", "family" : "Scholtz", "given" : "J M", "non-dropping-particle" : "", "parse-names" : false, "suffix" : "" } ], "container-title" : "Biophysical journal", "id" : "ITEM-2", "issue" : "1", "issued" : { "date-parts" : [ [ "1998" ] ] }, "page" : "422-427", "title" : "A helix propensity scale based on experimental studies of peptides and proteins.", "type" : "article-journal", "volume" : "75" }, "uris" : [ "http://www.mendeley.com/documents/?uuid=7de2b3e0-67b0-4207-9197-7cf4e6014f56" ] } ], "mendeley" : { "formattedCitation" : "(Pace &amp; Scholtz, 1998; Ulmschneider &amp; Sansom, 2001)", "plainTextFormattedCitation" : "(Pace &amp; Scholtz, 1998; Ulmschneider &amp; Sansom, 2001)", "previouslyFormattedCitation" : "(Pace &amp; Scholtz, 1998; Ulmschneider &amp; Sansom, 2001)" }, "properties" : {  }, "schema" : "https://github.com/citation-style-language/schema/raw/master/csl-citation.json" }</w:instrText>
      </w:r>
      <w:r w:rsidR="00FF29B2">
        <w:rPr>
          <w:sz w:val="24"/>
        </w:rPr>
        <w:fldChar w:fldCharType="separate"/>
      </w:r>
      <w:r w:rsidR="00FF29B2" w:rsidRPr="00FF29B2">
        <w:rPr>
          <w:noProof/>
          <w:sz w:val="24"/>
        </w:rPr>
        <w:t>(Pace &amp; Scholtz, 1998; Ulmschneider &amp; Sansom, 2001)</w:t>
      </w:r>
      <w:r w:rsidR="00FF29B2">
        <w:rPr>
          <w:sz w:val="24"/>
        </w:rPr>
        <w:fldChar w:fldCharType="end"/>
      </w:r>
      <w:r w:rsidR="00FF29B2">
        <w:rPr>
          <w:sz w:val="24"/>
        </w:rPr>
        <w:t xml:space="preserve">. </w:t>
      </w:r>
      <w:proofErr w:type="gramStart"/>
      <w:r w:rsidR="00FF29B2">
        <w:rPr>
          <w:sz w:val="24"/>
        </w:rPr>
        <w:t>[Implementation to be added].</w:t>
      </w:r>
      <w:proofErr w:type="gramEnd"/>
    </w:p>
    <w:p w:rsidR="00E749E1" w:rsidRDefault="00E749E1" w:rsidP="00057801">
      <w:pPr>
        <w:rPr>
          <w:sz w:val="24"/>
        </w:rPr>
      </w:pPr>
    </w:p>
    <w:p w:rsidR="00E749E1" w:rsidRDefault="00517AED" w:rsidP="00057801">
      <w:pPr>
        <w:rPr>
          <w:sz w:val="24"/>
        </w:rPr>
      </w:pPr>
      <w:r>
        <w:rPr>
          <w:sz w:val="24"/>
        </w:rPr>
        <w:t>My key hypothesis questions whether among the limited set of “motifs” formed by tyrosine, are there any shared with phenylalanine? The other papers support the fact that they may share structural properties [again, implementation will be added soon]</w:t>
      </w:r>
      <w:r w:rsidR="00895152">
        <w:rPr>
          <w:sz w:val="24"/>
        </w:rPr>
        <w:t>, as well as Kellogg’s own data set cited later in this article</w:t>
      </w:r>
      <w:r w:rsidR="00056D56">
        <w:rPr>
          <w:sz w:val="24"/>
        </w:rPr>
        <w:t>. Not to mention the obvious similarities between the two amino acids</w:t>
      </w:r>
      <w:r>
        <w:rPr>
          <w:sz w:val="24"/>
        </w:rPr>
        <w:t>.</w:t>
      </w:r>
      <w:r w:rsidR="00895152">
        <w:rPr>
          <w:sz w:val="24"/>
        </w:rPr>
        <w:t xml:space="preserve"> </w:t>
      </w:r>
      <w:r w:rsidR="00E749E1">
        <w:rPr>
          <w:sz w:val="24"/>
        </w:rPr>
        <w:t xml:space="preserve">What will I find by comparing these two amino acids? What major differences will we find? Will I find anything unique? </w:t>
      </w:r>
      <w:proofErr w:type="gramStart"/>
      <w:r w:rsidR="00E749E1">
        <w:rPr>
          <w:sz w:val="24"/>
        </w:rPr>
        <w:t>Since nothing like this has been done before, I would hope to find something unique and novel.</w:t>
      </w:r>
      <w:proofErr w:type="gramEnd"/>
      <w:r w:rsidR="00E749E1">
        <w:rPr>
          <w:sz w:val="24"/>
        </w:rPr>
        <w:t xml:space="preserve"> And hopefully will be able to give us a better understanding of secondary structure afterwards.</w:t>
      </w:r>
    </w:p>
    <w:p w:rsidR="00415FC4" w:rsidRDefault="00415FC4" w:rsidP="00057801">
      <w:pPr>
        <w:rPr>
          <w:sz w:val="24"/>
        </w:rPr>
      </w:pPr>
    </w:p>
    <w:p w:rsidR="00415FC4" w:rsidRPr="00415FC4" w:rsidRDefault="00415FC4" w:rsidP="00415FC4">
      <w:pPr>
        <w:pStyle w:val="ListParagraph"/>
        <w:numPr>
          <w:ilvl w:val="0"/>
          <w:numId w:val="1"/>
        </w:numPr>
        <w:ind w:left="360" w:hanging="360"/>
        <w:rPr>
          <w:b/>
          <w:sz w:val="24"/>
        </w:rPr>
      </w:pPr>
      <w:r w:rsidRPr="00415FC4">
        <w:rPr>
          <w:b/>
          <w:sz w:val="24"/>
        </w:rPr>
        <w:t>The Experiment</w:t>
      </w:r>
    </w:p>
    <w:p w:rsidR="000F79D5" w:rsidRDefault="000F79D5" w:rsidP="00057801">
      <w:pPr>
        <w:rPr>
          <w:sz w:val="24"/>
        </w:rPr>
      </w:pPr>
    </w:p>
    <w:p w:rsidR="000F79D5" w:rsidRDefault="00E66BA9" w:rsidP="00057801">
      <w:pPr>
        <w:rPr>
          <w:sz w:val="24"/>
        </w:rPr>
      </w:pPr>
      <w:r>
        <w:rPr>
          <w:sz w:val="24"/>
        </w:rPr>
        <w:t>The goal of this experi</w:t>
      </w:r>
      <w:r w:rsidR="003C0B43">
        <w:rPr>
          <w:sz w:val="24"/>
        </w:rPr>
        <w:t xml:space="preserve">ment is to use the techniques outlined in </w:t>
      </w:r>
      <w:r>
        <w:rPr>
          <w:sz w:val="24"/>
        </w:rPr>
        <w:t>Kellogg</w:t>
      </w:r>
      <w:r w:rsidR="003C0B43">
        <w:rPr>
          <w:sz w:val="24"/>
        </w:rPr>
        <w:t xml:space="preserve">’s </w:t>
      </w:r>
      <w:r>
        <w:rPr>
          <w:sz w:val="24"/>
        </w:rPr>
        <w:t>and on a smaller scale</w:t>
      </w:r>
      <w:r w:rsidR="003C0B43">
        <w:rPr>
          <w:sz w:val="24"/>
        </w:rPr>
        <w:t xml:space="preserve"> and a novel purpose to compare two entities that have not been compared before</w:t>
      </w:r>
      <w:r>
        <w:rPr>
          <w:sz w:val="24"/>
        </w:rPr>
        <w:t xml:space="preserve">. I will be focusing in on rotamers that fall in the d4 </w:t>
      </w:r>
      <w:r w:rsidR="003B5979">
        <w:rPr>
          <w:sz w:val="24"/>
        </w:rPr>
        <w:t>R</w:t>
      </w:r>
      <w:r>
        <w:rPr>
          <w:sz w:val="24"/>
        </w:rPr>
        <w:t xml:space="preserve">amachandran plot chess square. </w:t>
      </w:r>
      <w:r w:rsidR="003B5979">
        <w:rPr>
          <w:sz w:val="24"/>
        </w:rPr>
        <w:t xml:space="preserve">Rotamers are effectively structural conformations that the side chain can take on. </w:t>
      </w:r>
      <w:r>
        <w:rPr>
          <w:sz w:val="24"/>
        </w:rPr>
        <w:t xml:space="preserve">In short, </w:t>
      </w:r>
      <w:r w:rsidRPr="00E66BA9">
        <w:rPr>
          <w:sz w:val="24"/>
        </w:rPr>
        <w:t xml:space="preserve">I would like to HINT score all </w:t>
      </w:r>
      <w:r w:rsidR="003B5979">
        <w:rPr>
          <w:sz w:val="24"/>
        </w:rPr>
        <w:t>phenylalanines</w:t>
      </w:r>
      <w:r w:rsidRPr="00E66BA9">
        <w:rPr>
          <w:sz w:val="24"/>
        </w:rPr>
        <w:t xml:space="preserve"> that fall into that same chest square. Then, calculate map</w:t>
      </w:r>
      <w:r w:rsidR="00ED45B2">
        <w:rPr>
          <w:sz w:val="24"/>
        </w:rPr>
        <w:t>s based on the HINT score. Afterwards, use the</w:t>
      </w:r>
      <w:r w:rsidRPr="00E66BA9">
        <w:rPr>
          <w:sz w:val="24"/>
        </w:rPr>
        <w:t xml:space="preserve"> map-map similarity metric</w:t>
      </w:r>
      <w:r w:rsidR="00ED45B2">
        <w:rPr>
          <w:sz w:val="24"/>
        </w:rPr>
        <w:t xml:space="preserve"> from Kellogg’s paper</w:t>
      </w:r>
      <w:r w:rsidRPr="00E66BA9">
        <w:rPr>
          <w:sz w:val="24"/>
        </w:rPr>
        <w:t xml:space="preserve"> to sc</w:t>
      </w:r>
      <w:r w:rsidR="00881652">
        <w:rPr>
          <w:sz w:val="24"/>
        </w:rPr>
        <w:t>ore the relationship between tyrosine vs. phenylalanine</w:t>
      </w:r>
      <w:r w:rsidR="0094612D">
        <w:rPr>
          <w:sz w:val="24"/>
        </w:rPr>
        <w:t xml:space="preserve"> maps to see if there are</w:t>
      </w:r>
      <w:r w:rsidRPr="00E66BA9">
        <w:rPr>
          <w:sz w:val="24"/>
        </w:rPr>
        <w:t xml:space="preserve"> any similarities.</w:t>
      </w:r>
      <w:r w:rsidR="00902BF2">
        <w:rPr>
          <w:sz w:val="24"/>
        </w:rPr>
        <w:t xml:space="preserve"> According to the data set of proteins used from Kellogg’s paper, there are a total of 5376 tyrosines that fall into the d4 chest square. And there are 6364 phenylalanines that fall into the d4 chest square. This is significant because d4 contains the highest numbers of residue count per chest square. Additio</w:t>
      </w:r>
      <w:r w:rsidR="0094612D">
        <w:rPr>
          <w:sz w:val="24"/>
        </w:rPr>
        <w:t xml:space="preserve">nally, they are similar in both </w:t>
      </w:r>
      <w:r w:rsidR="000C0865">
        <w:rPr>
          <w:sz w:val="24"/>
        </w:rPr>
        <w:t xml:space="preserve">data set </w:t>
      </w:r>
      <w:r w:rsidR="0094612D">
        <w:rPr>
          <w:sz w:val="24"/>
        </w:rPr>
        <w:t>size and</w:t>
      </w:r>
      <w:r w:rsidR="00902BF2">
        <w:rPr>
          <w:sz w:val="24"/>
        </w:rPr>
        <w:t xml:space="preserve"> characteristic</w:t>
      </w:r>
      <w:r w:rsidR="0094612D">
        <w:rPr>
          <w:sz w:val="24"/>
        </w:rPr>
        <w:t>s</w:t>
      </w:r>
      <w:r w:rsidR="007D490F">
        <w:rPr>
          <w:sz w:val="24"/>
        </w:rPr>
        <w:t xml:space="preserve">. Chest square d4 is not the most populated square for every residue, but it is for both tyrosine and phenylalanine, which I believe supports my hypothesis that we may find similar clustering patterns between these two residues. </w:t>
      </w:r>
    </w:p>
    <w:p w:rsidR="007D490F" w:rsidRDefault="007D490F" w:rsidP="00057801">
      <w:pPr>
        <w:rPr>
          <w:sz w:val="24"/>
        </w:rPr>
      </w:pPr>
      <w:r>
        <w:rPr>
          <w:sz w:val="24"/>
        </w:rPr>
        <w:t xml:space="preserve">The </w:t>
      </w:r>
      <w:r w:rsidR="00BA7287">
        <w:rPr>
          <w:sz w:val="24"/>
        </w:rPr>
        <w:t>first</w:t>
      </w:r>
      <w:r>
        <w:rPr>
          <w:sz w:val="24"/>
        </w:rPr>
        <w:t xml:space="preserve"> step would be to evaluate HINT scoring of the phenylalanine</w:t>
      </w:r>
      <w:r w:rsidR="0055782B">
        <w:rPr>
          <w:sz w:val="24"/>
        </w:rPr>
        <w:t xml:space="preserve"> residues. This will be done by scoring all the atom-atom interactions between the molecules. Then I will use the same algorithm used in Kellogg’s paper,</w:t>
      </w:r>
      <w:r w:rsidR="00C90AAC">
        <w:rPr>
          <w:sz w:val="24"/>
        </w:rPr>
        <w:t xml:space="preserve"> </w:t>
      </w:r>
      <w:r w:rsidR="0055782B">
        <w:rPr>
          <w:sz w:val="24"/>
        </w:rPr>
        <w:t>the HINT basis map, which takes all the atom-atom interactions for the vicinity of a given residue and computes it into a list w</w:t>
      </w:r>
      <w:r w:rsidR="00BA7287">
        <w:rPr>
          <w:sz w:val="24"/>
        </w:rPr>
        <w:t>hich</w:t>
      </w:r>
      <w:r w:rsidR="0055782B">
        <w:rPr>
          <w:sz w:val="24"/>
        </w:rPr>
        <w:t xml:space="preserve"> is </w:t>
      </w:r>
      <w:r w:rsidR="00BA7287">
        <w:rPr>
          <w:sz w:val="24"/>
        </w:rPr>
        <w:t xml:space="preserve">then </w:t>
      </w:r>
      <w:r w:rsidR="0055782B">
        <w:rPr>
          <w:sz w:val="24"/>
        </w:rPr>
        <w:lastRenderedPageBreak/>
        <w:t>converted into a 3D object that displays interaction type and strength</w:t>
      </w:r>
      <w:r w:rsidR="00BA7287">
        <w:rPr>
          <w:sz w:val="24"/>
        </w:rPr>
        <w:t xml:space="preserve"> just as mentioned in the introduction</w:t>
      </w:r>
      <w:r w:rsidR="0055782B">
        <w:rPr>
          <w:sz w:val="24"/>
        </w:rPr>
        <w:t>. This will be calculated for all four interactions that make up HINT.</w:t>
      </w:r>
    </w:p>
    <w:p w:rsidR="00281D50" w:rsidRDefault="0055782B" w:rsidP="00057801">
      <w:pPr>
        <w:rPr>
          <w:sz w:val="24"/>
        </w:rPr>
      </w:pPr>
      <w:r>
        <w:rPr>
          <w:sz w:val="24"/>
        </w:rPr>
        <w:t xml:space="preserve">The method that I’m describing is the same one used in Kellogg’s paper. In his </w:t>
      </w:r>
      <w:r w:rsidR="00760C5E">
        <w:rPr>
          <w:sz w:val="24"/>
        </w:rPr>
        <w:t>paper</w:t>
      </w:r>
      <w:r>
        <w:rPr>
          <w:sz w:val="24"/>
        </w:rPr>
        <w:t xml:space="preserve"> he scored all tyrosine residues the same way and calculated HINT basis maps for each tyrosine. The following was also done in his experiment and is what I plan on doing with the phenylalanine residues, with the exception of the comparison at the end. </w:t>
      </w:r>
      <w:r w:rsidR="006C65F5">
        <w:rPr>
          <w:sz w:val="24"/>
        </w:rPr>
        <w:t>To quantitate the sim</w:t>
      </w:r>
      <w:r w:rsidR="00943DA9">
        <w:rPr>
          <w:sz w:val="24"/>
        </w:rPr>
        <w:t>il</w:t>
      </w:r>
      <w:r w:rsidR="006C65F5">
        <w:rPr>
          <w:sz w:val="24"/>
        </w:rPr>
        <w:t>arity of the maps, and effectively compare two residues, a composite metric was made based on the four maps made in the HINT basis mapping. Clustering will be done with the k-means method as described above</w:t>
      </w:r>
      <w:r w:rsidR="00943DA9">
        <w:rPr>
          <w:sz w:val="24"/>
        </w:rPr>
        <w:t xml:space="preserve"> [Citation and description to be added]</w:t>
      </w:r>
      <w:r w:rsidR="006C65F5">
        <w:rPr>
          <w:sz w:val="24"/>
        </w:rPr>
        <w:t>.</w:t>
      </w:r>
      <w:r w:rsidR="00087672">
        <w:rPr>
          <w:sz w:val="24"/>
        </w:rPr>
        <w:t xml:space="preserve"> </w:t>
      </w:r>
      <w:proofErr w:type="gramStart"/>
      <w:r w:rsidR="00087672">
        <w:rPr>
          <w:sz w:val="24"/>
        </w:rPr>
        <w:t>The</w:t>
      </w:r>
      <w:proofErr w:type="gramEnd"/>
      <w:r w:rsidR="00087672">
        <w:rPr>
          <w:sz w:val="24"/>
        </w:rPr>
        <w:t xml:space="preserve"> difference is that the clustering will be performed comparing phenylalanine’s against tyrosines.</w:t>
      </w:r>
    </w:p>
    <w:p w:rsidR="00281D50" w:rsidRDefault="00281D50" w:rsidP="00057801">
      <w:pPr>
        <w:rPr>
          <w:sz w:val="24"/>
        </w:rPr>
      </w:pPr>
    </w:p>
    <w:p w:rsidR="0055782B" w:rsidRPr="00836EC4" w:rsidRDefault="00281D50" w:rsidP="00281D50">
      <w:pPr>
        <w:pStyle w:val="ListParagraph"/>
        <w:numPr>
          <w:ilvl w:val="0"/>
          <w:numId w:val="1"/>
        </w:numPr>
        <w:ind w:left="360" w:hanging="360"/>
        <w:rPr>
          <w:b/>
          <w:sz w:val="24"/>
        </w:rPr>
      </w:pPr>
      <w:r w:rsidRPr="00836EC4">
        <w:rPr>
          <w:b/>
          <w:sz w:val="24"/>
        </w:rPr>
        <w:t>Discussion</w:t>
      </w:r>
      <w:r w:rsidR="006C65F5" w:rsidRPr="00836EC4">
        <w:rPr>
          <w:b/>
          <w:sz w:val="24"/>
        </w:rPr>
        <w:t xml:space="preserve"> </w:t>
      </w:r>
    </w:p>
    <w:p w:rsidR="0055782B" w:rsidRDefault="0055782B" w:rsidP="00057801">
      <w:pPr>
        <w:rPr>
          <w:sz w:val="24"/>
        </w:rPr>
      </w:pPr>
    </w:p>
    <w:p w:rsidR="008C1F6A" w:rsidRDefault="008C1F6A" w:rsidP="00057801">
      <w:pPr>
        <w:rPr>
          <w:sz w:val="24"/>
        </w:rPr>
      </w:pPr>
      <w:r>
        <w:rPr>
          <w:sz w:val="24"/>
        </w:rPr>
        <w:t>In the best case scenario, the clusters would suggest that some phenylalanine and tyrosine rotamers form the same “motifs” in right handed alpha helices. This can then give reason to investigate further and possibly look at another chest square to see if there are other similarities in “motif” formation between these two residues. In the big picture, this would be good news because it would take vast universe of unexplained knowledge regarding how molecules work and shrink it down a tiny, tiny, bit</w:t>
      </w:r>
      <w:r w:rsidR="001D75B9">
        <w:rPr>
          <w:sz w:val="24"/>
        </w:rPr>
        <w:t xml:space="preserve"> [I think this sounds a bit dramatic and I’m thinking of rewording it]</w:t>
      </w:r>
      <w:r>
        <w:rPr>
          <w:sz w:val="24"/>
        </w:rPr>
        <w:t>. Alternatively, if we find no cluster correlation between phenylalanine and tyrosine, we can heed this and focus our resources on something else</w:t>
      </w:r>
      <w:r w:rsidR="005D37A5">
        <w:rPr>
          <w:sz w:val="24"/>
        </w:rPr>
        <w:t>. More importantly, we can build on the data generated for the d4 square and finish the rest</w:t>
      </w:r>
      <w:r>
        <w:rPr>
          <w:sz w:val="24"/>
        </w:rPr>
        <w:t xml:space="preserve"> </w:t>
      </w:r>
      <w:r w:rsidR="005D37A5">
        <w:rPr>
          <w:sz w:val="24"/>
        </w:rPr>
        <w:t>of the Ramachandran plot of perform another clustering analysis of just phenylalanine.</w:t>
      </w:r>
    </w:p>
    <w:p w:rsidR="000F79D5" w:rsidRDefault="00B1681C" w:rsidP="00057801">
      <w:pPr>
        <w:rPr>
          <w:sz w:val="24"/>
        </w:rPr>
      </w:pPr>
      <w:r>
        <w:rPr>
          <w:sz w:val="24"/>
        </w:rPr>
        <w:t xml:space="preserve">Limitations and obstacles that I can foresee before beginning this experiment would be the following. </w:t>
      </w:r>
      <w:r w:rsidR="0068545A">
        <w:rPr>
          <w:sz w:val="24"/>
        </w:rPr>
        <w:t xml:space="preserve">It would probably be a lot of data to sift through. </w:t>
      </w:r>
    </w:p>
    <w:p w:rsidR="001C6C08" w:rsidRDefault="005E4E90" w:rsidP="00BA01ED">
      <w:pPr>
        <w:rPr>
          <w:sz w:val="24"/>
        </w:rPr>
      </w:pPr>
      <w:r>
        <w:rPr>
          <w:sz w:val="24"/>
        </w:rPr>
        <w:t>[Final words and concluding sentence will be added soon]</w:t>
      </w:r>
      <w:r w:rsidR="001C6C08">
        <w:rPr>
          <w:sz w:val="24"/>
        </w:rPr>
        <w:t xml:space="preserve"> </w:t>
      </w:r>
    </w:p>
    <w:p w:rsidR="001C6C08" w:rsidRDefault="001C6C08" w:rsidP="00057801">
      <w:pPr>
        <w:rPr>
          <w:sz w:val="24"/>
        </w:rPr>
      </w:pPr>
    </w:p>
    <w:p w:rsidR="00BA01ED" w:rsidRDefault="00BA01ED" w:rsidP="00057801">
      <w:pPr>
        <w:rPr>
          <w:sz w:val="24"/>
        </w:rPr>
      </w:pPr>
    </w:p>
    <w:p w:rsidR="00BA01ED" w:rsidRDefault="00BA01ED" w:rsidP="00057801">
      <w:pPr>
        <w:rPr>
          <w:sz w:val="24"/>
        </w:rPr>
      </w:pPr>
    </w:p>
    <w:p w:rsidR="00BA01ED" w:rsidRDefault="00BA01ED" w:rsidP="00057801">
      <w:pPr>
        <w:rPr>
          <w:sz w:val="24"/>
        </w:rPr>
      </w:pPr>
    </w:p>
    <w:p w:rsidR="00BA01ED" w:rsidRDefault="00BA01ED" w:rsidP="00057801">
      <w:pPr>
        <w:rPr>
          <w:sz w:val="24"/>
        </w:rPr>
      </w:pPr>
    </w:p>
    <w:p w:rsidR="00BA01ED" w:rsidRDefault="00BA01ED" w:rsidP="00057801">
      <w:pPr>
        <w:rPr>
          <w:sz w:val="24"/>
        </w:rPr>
      </w:pPr>
    </w:p>
    <w:p w:rsidR="00BA01ED" w:rsidRDefault="00BA01ED" w:rsidP="00057801">
      <w:pPr>
        <w:rPr>
          <w:sz w:val="24"/>
        </w:rPr>
      </w:pPr>
    </w:p>
    <w:p w:rsidR="00BA01ED" w:rsidRDefault="00BA01ED" w:rsidP="00057801">
      <w:pPr>
        <w:rPr>
          <w:sz w:val="24"/>
        </w:rPr>
      </w:pPr>
    </w:p>
    <w:p w:rsidR="00BA01ED" w:rsidRDefault="00BA01ED" w:rsidP="00057801">
      <w:pPr>
        <w:rPr>
          <w:sz w:val="24"/>
        </w:rPr>
      </w:pPr>
    </w:p>
    <w:p w:rsidR="00BA01ED" w:rsidRDefault="00BA01ED" w:rsidP="00057801">
      <w:pPr>
        <w:rPr>
          <w:sz w:val="24"/>
        </w:rPr>
      </w:pPr>
    </w:p>
    <w:p w:rsidR="00BA01ED" w:rsidRDefault="00BA01ED" w:rsidP="00057801">
      <w:pPr>
        <w:rPr>
          <w:sz w:val="24"/>
        </w:rPr>
      </w:pPr>
    </w:p>
    <w:p w:rsidR="00BA01ED" w:rsidRDefault="00BA01ED" w:rsidP="00057801">
      <w:pPr>
        <w:rPr>
          <w:sz w:val="24"/>
        </w:rPr>
      </w:pPr>
    </w:p>
    <w:p w:rsidR="00BA01ED" w:rsidRDefault="00BA01ED" w:rsidP="00057801">
      <w:pPr>
        <w:rPr>
          <w:sz w:val="24"/>
        </w:rPr>
      </w:pPr>
    </w:p>
    <w:p w:rsidR="00BA01ED" w:rsidRDefault="00BA01ED" w:rsidP="00057801">
      <w:pPr>
        <w:rPr>
          <w:sz w:val="24"/>
        </w:rPr>
      </w:pPr>
    </w:p>
    <w:p w:rsidR="00BA01ED" w:rsidRDefault="00BA01ED" w:rsidP="00057801">
      <w:pPr>
        <w:rPr>
          <w:sz w:val="24"/>
        </w:rPr>
      </w:pPr>
    </w:p>
    <w:p w:rsidR="00BA01ED" w:rsidRDefault="00BA01ED" w:rsidP="00057801">
      <w:pPr>
        <w:rPr>
          <w:sz w:val="24"/>
        </w:rPr>
      </w:pPr>
    </w:p>
    <w:p w:rsidR="00BA01ED" w:rsidRDefault="00BA01ED" w:rsidP="00057801">
      <w:pPr>
        <w:rPr>
          <w:sz w:val="24"/>
        </w:rPr>
      </w:pPr>
    </w:p>
    <w:p w:rsidR="00BA01ED" w:rsidRDefault="00BA01ED" w:rsidP="00057801">
      <w:pPr>
        <w:rPr>
          <w:sz w:val="24"/>
        </w:rPr>
      </w:pPr>
    </w:p>
    <w:p w:rsidR="00BA01ED" w:rsidRDefault="00BA01ED" w:rsidP="00BA01ED">
      <w:pPr>
        <w:jc w:val="center"/>
        <w:rPr>
          <w:b/>
          <w:sz w:val="24"/>
        </w:rPr>
      </w:pPr>
      <w:r>
        <w:rPr>
          <w:b/>
          <w:sz w:val="24"/>
        </w:rPr>
        <w:lastRenderedPageBreak/>
        <w:t>References</w:t>
      </w:r>
    </w:p>
    <w:p w:rsidR="00BA01ED" w:rsidRDefault="00BA01ED" w:rsidP="00BA01ED">
      <w:pPr>
        <w:widowControl w:val="0"/>
        <w:autoSpaceDE w:val="0"/>
        <w:autoSpaceDN w:val="0"/>
        <w:adjustRightInd w:val="0"/>
        <w:ind w:left="480" w:hanging="480"/>
        <w:rPr>
          <w:sz w:val="24"/>
        </w:rPr>
      </w:pPr>
    </w:p>
    <w:p w:rsidR="00BA01ED" w:rsidRPr="00BA01ED" w:rsidRDefault="00BA01ED" w:rsidP="00BA01ED">
      <w:pPr>
        <w:widowControl w:val="0"/>
        <w:autoSpaceDE w:val="0"/>
        <w:autoSpaceDN w:val="0"/>
        <w:adjustRightInd w:val="0"/>
        <w:ind w:left="480" w:hanging="480"/>
        <w:rPr>
          <w:rFonts w:ascii="Calibri" w:hAnsi="Calibri" w:cs="Times New Roman"/>
          <w:noProof/>
          <w:sz w:val="24"/>
          <w:szCs w:val="24"/>
        </w:rPr>
      </w:pPr>
      <w:r>
        <w:rPr>
          <w:sz w:val="24"/>
        </w:rPr>
        <w:fldChar w:fldCharType="begin" w:fldLock="1"/>
      </w:r>
      <w:r>
        <w:rPr>
          <w:sz w:val="24"/>
        </w:rPr>
        <w:instrText xml:space="preserve">ADDIN Mendeley Bibliography CSL_BIBLIOGRAPHY </w:instrText>
      </w:r>
      <w:r>
        <w:rPr>
          <w:sz w:val="24"/>
        </w:rPr>
        <w:fldChar w:fldCharType="separate"/>
      </w:r>
      <w:r w:rsidRPr="00BA01ED">
        <w:rPr>
          <w:rFonts w:ascii="Calibri" w:hAnsi="Calibri" w:cs="Times New Roman"/>
          <w:noProof/>
          <w:sz w:val="24"/>
          <w:szCs w:val="24"/>
        </w:rPr>
        <w:t xml:space="preserve">Ahmed, M. H., Koparde, V. N., Safo, M. K., Neel Scarsdale, J., &amp; Kellogg, G. E. (2015). 3D interaction homology: The structurally known rotamers of tyrosine derive from a surprisingly limited set of information-rich hydropathic interaction environments described by maps. </w:t>
      </w:r>
      <w:r w:rsidRPr="00BA01ED">
        <w:rPr>
          <w:rFonts w:ascii="Calibri" w:hAnsi="Calibri" w:cs="Times New Roman"/>
          <w:i/>
          <w:iCs/>
          <w:noProof/>
          <w:sz w:val="24"/>
          <w:szCs w:val="24"/>
        </w:rPr>
        <w:t>Proteins: Structure, Function and Bioinformatics</w:t>
      </w:r>
      <w:r w:rsidRPr="00BA01ED">
        <w:rPr>
          <w:rFonts w:ascii="Calibri" w:hAnsi="Calibri" w:cs="Times New Roman"/>
          <w:noProof/>
          <w:sz w:val="24"/>
          <w:szCs w:val="24"/>
        </w:rPr>
        <w:t xml:space="preserve">, </w:t>
      </w:r>
      <w:r w:rsidRPr="00BA01ED">
        <w:rPr>
          <w:rFonts w:ascii="Calibri" w:hAnsi="Calibri" w:cs="Times New Roman"/>
          <w:i/>
          <w:iCs/>
          <w:noProof/>
          <w:sz w:val="24"/>
          <w:szCs w:val="24"/>
        </w:rPr>
        <w:t>83</w:t>
      </w:r>
      <w:r w:rsidRPr="00BA01ED">
        <w:rPr>
          <w:rFonts w:ascii="Calibri" w:hAnsi="Calibri" w:cs="Times New Roman"/>
          <w:noProof/>
          <w:sz w:val="24"/>
          <w:szCs w:val="24"/>
        </w:rPr>
        <w:t>(6), 1118–1136. https://doi.org/10.1002/prot.24813</w:t>
      </w:r>
    </w:p>
    <w:p w:rsidR="00BA01ED" w:rsidRPr="00BA01ED" w:rsidRDefault="00BA01ED" w:rsidP="00BA01ED">
      <w:pPr>
        <w:widowControl w:val="0"/>
        <w:autoSpaceDE w:val="0"/>
        <w:autoSpaceDN w:val="0"/>
        <w:adjustRightInd w:val="0"/>
        <w:ind w:left="480" w:hanging="480"/>
        <w:rPr>
          <w:rFonts w:ascii="Calibri" w:hAnsi="Calibri" w:cs="Times New Roman"/>
          <w:noProof/>
          <w:sz w:val="24"/>
          <w:szCs w:val="24"/>
        </w:rPr>
      </w:pPr>
      <w:r w:rsidRPr="00BA01ED">
        <w:rPr>
          <w:rFonts w:ascii="Calibri" w:hAnsi="Calibri" w:cs="Times New Roman"/>
          <w:noProof/>
          <w:sz w:val="24"/>
          <w:szCs w:val="24"/>
        </w:rPr>
        <w:t xml:space="preserve">Berg, J., Tymoczko, J., &amp; Stryer, L. (2002). Protein Structure and Function. In </w:t>
      </w:r>
      <w:r w:rsidRPr="00BA01ED">
        <w:rPr>
          <w:rFonts w:ascii="Calibri" w:hAnsi="Calibri" w:cs="Times New Roman"/>
          <w:i/>
          <w:iCs/>
          <w:noProof/>
          <w:sz w:val="24"/>
          <w:szCs w:val="24"/>
        </w:rPr>
        <w:t>Biochemistry</w:t>
      </w:r>
      <w:r w:rsidRPr="00BA01ED">
        <w:rPr>
          <w:rFonts w:ascii="Calibri" w:hAnsi="Calibri" w:cs="Times New Roman"/>
          <w:noProof/>
          <w:sz w:val="24"/>
          <w:szCs w:val="24"/>
        </w:rPr>
        <w:t xml:space="preserve"> (5th ed.). New York: W. H. Freeman. Retrieved from https://www.ncbi.nlm.nih.gov/books/NBK21177/</w:t>
      </w:r>
    </w:p>
    <w:p w:rsidR="00BA01ED" w:rsidRPr="00BA01ED" w:rsidRDefault="00BA01ED" w:rsidP="00BA01ED">
      <w:pPr>
        <w:widowControl w:val="0"/>
        <w:autoSpaceDE w:val="0"/>
        <w:autoSpaceDN w:val="0"/>
        <w:adjustRightInd w:val="0"/>
        <w:ind w:left="480" w:hanging="480"/>
        <w:rPr>
          <w:rFonts w:ascii="Calibri" w:hAnsi="Calibri" w:cs="Times New Roman"/>
          <w:noProof/>
          <w:sz w:val="24"/>
          <w:szCs w:val="24"/>
        </w:rPr>
      </w:pPr>
      <w:r w:rsidRPr="00BA01ED">
        <w:rPr>
          <w:rFonts w:ascii="Calibri" w:hAnsi="Calibri" w:cs="Times New Roman"/>
          <w:noProof/>
          <w:sz w:val="24"/>
          <w:szCs w:val="24"/>
        </w:rPr>
        <w:t xml:space="preserve">Crick, F. (1958). On Protein Synthesis. </w:t>
      </w:r>
      <w:r w:rsidRPr="00BA01ED">
        <w:rPr>
          <w:rFonts w:ascii="Calibri" w:hAnsi="Calibri" w:cs="Times New Roman"/>
          <w:i/>
          <w:iCs/>
          <w:noProof/>
          <w:sz w:val="24"/>
          <w:szCs w:val="24"/>
        </w:rPr>
        <w:t>The Symposia of the Society for Experimental Biology</w:t>
      </w:r>
      <w:r w:rsidRPr="00BA01ED">
        <w:rPr>
          <w:rFonts w:ascii="Calibri" w:hAnsi="Calibri" w:cs="Times New Roman"/>
          <w:noProof/>
          <w:sz w:val="24"/>
          <w:szCs w:val="24"/>
        </w:rPr>
        <w:t>, 138–166. https://doi.org/10.1038/227561a0</w:t>
      </w:r>
    </w:p>
    <w:p w:rsidR="00BA01ED" w:rsidRPr="00BA01ED" w:rsidRDefault="00BA01ED" w:rsidP="00BA01ED">
      <w:pPr>
        <w:widowControl w:val="0"/>
        <w:autoSpaceDE w:val="0"/>
        <w:autoSpaceDN w:val="0"/>
        <w:adjustRightInd w:val="0"/>
        <w:ind w:left="480" w:hanging="480"/>
        <w:rPr>
          <w:rFonts w:ascii="Calibri" w:hAnsi="Calibri" w:cs="Times New Roman"/>
          <w:noProof/>
          <w:sz w:val="24"/>
          <w:szCs w:val="24"/>
        </w:rPr>
      </w:pPr>
      <w:r w:rsidRPr="00BA01ED">
        <w:rPr>
          <w:rFonts w:ascii="Calibri" w:hAnsi="Calibri" w:cs="Times New Roman"/>
          <w:noProof/>
          <w:sz w:val="24"/>
          <w:szCs w:val="24"/>
        </w:rPr>
        <w:t xml:space="preserve">Huang, P.-S., Boyken, S. E., &amp; Baker, D. (2016). The coming of age of de novo protein design. </w:t>
      </w:r>
      <w:r w:rsidRPr="00BA01ED">
        <w:rPr>
          <w:rFonts w:ascii="Calibri" w:hAnsi="Calibri" w:cs="Times New Roman"/>
          <w:i/>
          <w:iCs/>
          <w:noProof/>
          <w:sz w:val="24"/>
          <w:szCs w:val="24"/>
        </w:rPr>
        <w:t>Nature</w:t>
      </w:r>
      <w:r w:rsidRPr="00BA01ED">
        <w:rPr>
          <w:rFonts w:ascii="Calibri" w:hAnsi="Calibri" w:cs="Times New Roman"/>
          <w:noProof/>
          <w:sz w:val="24"/>
          <w:szCs w:val="24"/>
        </w:rPr>
        <w:t xml:space="preserve">, </w:t>
      </w:r>
      <w:r w:rsidRPr="00BA01ED">
        <w:rPr>
          <w:rFonts w:ascii="Calibri" w:hAnsi="Calibri" w:cs="Times New Roman"/>
          <w:i/>
          <w:iCs/>
          <w:noProof/>
          <w:sz w:val="24"/>
          <w:szCs w:val="24"/>
        </w:rPr>
        <w:t>537</w:t>
      </w:r>
      <w:r w:rsidRPr="00BA01ED">
        <w:rPr>
          <w:rFonts w:ascii="Calibri" w:hAnsi="Calibri" w:cs="Times New Roman"/>
          <w:noProof/>
          <w:sz w:val="24"/>
          <w:szCs w:val="24"/>
        </w:rPr>
        <w:t>(7620), 320–327. https://doi.org/10.1038/nature19946</w:t>
      </w:r>
    </w:p>
    <w:p w:rsidR="00BA01ED" w:rsidRPr="00BA01ED" w:rsidRDefault="00BA01ED" w:rsidP="00BA01ED">
      <w:pPr>
        <w:widowControl w:val="0"/>
        <w:autoSpaceDE w:val="0"/>
        <w:autoSpaceDN w:val="0"/>
        <w:adjustRightInd w:val="0"/>
        <w:ind w:left="480" w:hanging="480"/>
        <w:rPr>
          <w:rFonts w:ascii="Calibri" w:hAnsi="Calibri" w:cs="Times New Roman"/>
          <w:noProof/>
          <w:sz w:val="24"/>
          <w:szCs w:val="24"/>
        </w:rPr>
      </w:pPr>
      <w:r w:rsidRPr="00BA01ED">
        <w:rPr>
          <w:rFonts w:ascii="Calibri" w:hAnsi="Calibri" w:cs="Times New Roman"/>
          <w:noProof/>
          <w:sz w:val="24"/>
          <w:szCs w:val="24"/>
        </w:rPr>
        <w:t>N/A. (2017). Refined Search on PDB. Retrieved from https://www.rcsb.org/pdb/results/results.do?tabtoshow=Current&amp;qrid=5451C702</w:t>
      </w:r>
    </w:p>
    <w:p w:rsidR="00BA01ED" w:rsidRPr="00BA01ED" w:rsidRDefault="00BA01ED" w:rsidP="00BA01ED">
      <w:pPr>
        <w:widowControl w:val="0"/>
        <w:autoSpaceDE w:val="0"/>
        <w:autoSpaceDN w:val="0"/>
        <w:adjustRightInd w:val="0"/>
        <w:ind w:left="480" w:hanging="480"/>
        <w:rPr>
          <w:rFonts w:ascii="Calibri" w:hAnsi="Calibri" w:cs="Times New Roman"/>
          <w:noProof/>
          <w:sz w:val="24"/>
          <w:szCs w:val="24"/>
        </w:rPr>
      </w:pPr>
      <w:r w:rsidRPr="00BA01ED">
        <w:rPr>
          <w:rFonts w:ascii="Calibri" w:hAnsi="Calibri" w:cs="Times New Roman"/>
          <w:noProof/>
          <w:sz w:val="24"/>
          <w:szCs w:val="24"/>
        </w:rPr>
        <w:t xml:space="preserve">Pace, C. N., &amp; Scholtz, J. M. (1998). A helix propensity scale based on experimental studies of peptides and proteins. </w:t>
      </w:r>
      <w:r w:rsidRPr="00BA01ED">
        <w:rPr>
          <w:rFonts w:ascii="Calibri" w:hAnsi="Calibri" w:cs="Times New Roman"/>
          <w:i/>
          <w:iCs/>
          <w:noProof/>
          <w:sz w:val="24"/>
          <w:szCs w:val="24"/>
        </w:rPr>
        <w:t>Biophysical Journal</w:t>
      </w:r>
      <w:r w:rsidRPr="00BA01ED">
        <w:rPr>
          <w:rFonts w:ascii="Calibri" w:hAnsi="Calibri" w:cs="Times New Roman"/>
          <w:noProof/>
          <w:sz w:val="24"/>
          <w:szCs w:val="24"/>
        </w:rPr>
        <w:t xml:space="preserve">, </w:t>
      </w:r>
      <w:r w:rsidRPr="00BA01ED">
        <w:rPr>
          <w:rFonts w:ascii="Calibri" w:hAnsi="Calibri" w:cs="Times New Roman"/>
          <w:i/>
          <w:iCs/>
          <w:noProof/>
          <w:sz w:val="24"/>
          <w:szCs w:val="24"/>
        </w:rPr>
        <w:t>75</w:t>
      </w:r>
      <w:r w:rsidRPr="00BA01ED">
        <w:rPr>
          <w:rFonts w:ascii="Calibri" w:hAnsi="Calibri" w:cs="Times New Roman"/>
          <w:noProof/>
          <w:sz w:val="24"/>
          <w:szCs w:val="24"/>
        </w:rPr>
        <w:t>(1), 422–427. https://doi.org/10.1016/S0006-3495(98)77529-0</w:t>
      </w:r>
    </w:p>
    <w:p w:rsidR="00BA01ED" w:rsidRPr="00BA01ED" w:rsidRDefault="00BA01ED" w:rsidP="00BA01ED">
      <w:pPr>
        <w:widowControl w:val="0"/>
        <w:autoSpaceDE w:val="0"/>
        <w:autoSpaceDN w:val="0"/>
        <w:adjustRightInd w:val="0"/>
        <w:ind w:left="480" w:hanging="480"/>
        <w:rPr>
          <w:rFonts w:ascii="Calibri" w:hAnsi="Calibri" w:cs="Times New Roman"/>
          <w:noProof/>
          <w:sz w:val="24"/>
          <w:szCs w:val="24"/>
        </w:rPr>
      </w:pPr>
      <w:r w:rsidRPr="00BA01ED">
        <w:rPr>
          <w:rFonts w:ascii="Calibri" w:hAnsi="Calibri" w:cs="Times New Roman"/>
          <w:noProof/>
          <w:sz w:val="24"/>
          <w:szCs w:val="24"/>
        </w:rPr>
        <w:t>Peptide Bonds and Protein Backbones. (n.d.). Retrieved from http://www.biochem.ucl.ac.uk/~martin/c40/peptide.html</w:t>
      </w:r>
    </w:p>
    <w:p w:rsidR="00BA01ED" w:rsidRPr="00BA01ED" w:rsidRDefault="00BA01ED" w:rsidP="00BA01ED">
      <w:pPr>
        <w:widowControl w:val="0"/>
        <w:autoSpaceDE w:val="0"/>
        <w:autoSpaceDN w:val="0"/>
        <w:adjustRightInd w:val="0"/>
        <w:ind w:left="480" w:hanging="480"/>
        <w:rPr>
          <w:rFonts w:ascii="Calibri" w:hAnsi="Calibri" w:cs="Times New Roman"/>
          <w:noProof/>
          <w:sz w:val="24"/>
          <w:szCs w:val="24"/>
        </w:rPr>
      </w:pPr>
      <w:r w:rsidRPr="00BA01ED">
        <w:rPr>
          <w:rFonts w:ascii="Calibri" w:hAnsi="Calibri" w:cs="Times New Roman"/>
          <w:noProof/>
          <w:sz w:val="24"/>
          <w:szCs w:val="24"/>
        </w:rPr>
        <w:t xml:space="preserve">Ramachandran, G. N., Ramakrishnan, C., &amp; Sasisekharan, V. (1963). Stereochemistry of polypeptide chain configurations. </w:t>
      </w:r>
      <w:r w:rsidRPr="00BA01ED">
        <w:rPr>
          <w:rFonts w:ascii="Calibri" w:hAnsi="Calibri" w:cs="Times New Roman"/>
          <w:i/>
          <w:iCs/>
          <w:noProof/>
          <w:sz w:val="24"/>
          <w:szCs w:val="24"/>
        </w:rPr>
        <w:t>Journal of Molecular Biology</w:t>
      </w:r>
      <w:r w:rsidRPr="00BA01ED">
        <w:rPr>
          <w:rFonts w:ascii="Calibri" w:hAnsi="Calibri" w:cs="Times New Roman"/>
          <w:noProof/>
          <w:sz w:val="24"/>
          <w:szCs w:val="24"/>
        </w:rPr>
        <w:t xml:space="preserve">, </w:t>
      </w:r>
      <w:r w:rsidRPr="00BA01ED">
        <w:rPr>
          <w:rFonts w:ascii="Calibri" w:hAnsi="Calibri" w:cs="Times New Roman"/>
          <w:i/>
          <w:iCs/>
          <w:noProof/>
          <w:sz w:val="24"/>
          <w:szCs w:val="24"/>
        </w:rPr>
        <w:t>7</w:t>
      </w:r>
      <w:r w:rsidRPr="00BA01ED">
        <w:rPr>
          <w:rFonts w:ascii="Calibri" w:hAnsi="Calibri" w:cs="Times New Roman"/>
          <w:noProof/>
          <w:sz w:val="24"/>
          <w:szCs w:val="24"/>
        </w:rPr>
        <w:t>(1), 95–99. https://doi.org/10.1016/S0022-2836(63)80023-6</w:t>
      </w:r>
    </w:p>
    <w:p w:rsidR="00BA01ED" w:rsidRPr="00BA01ED" w:rsidRDefault="00BA01ED" w:rsidP="00BA01ED">
      <w:pPr>
        <w:widowControl w:val="0"/>
        <w:autoSpaceDE w:val="0"/>
        <w:autoSpaceDN w:val="0"/>
        <w:adjustRightInd w:val="0"/>
        <w:ind w:left="480" w:hanging="480"/>
        <w:rPr>
          <w:rFonts w:ascii="Calibri" w:hAnsi="Calibri" w:cs="Times New Roman"/>
          <w:noProof/>
          <w:sz w:val="24"/>
          <w:szCs w:val="24"/>
        </w:rPr>
      </w:pPr>
      <w:r w:rsidRPr="00BA01ED">
        <w:rPr>
          <w:rFonts w:ascii="Calibri" w:hAnsi="Calibri" w:cs="Times New Roman"/>
          <w:noProof/>
          <w:sz w:val="24"/>
          <w:szCs w:val="24"/>
        </w:rPr>
        <w:t xml:space="preserve">Salzberg, S. L., Searls, D. B., &amp; Kasif, S. (1998). Grand Challenges in Computational Biology. In </w:t>
      </w:r>
      <w:r w:rsidRPr="00BA01ED">
        <w:rPr>
          <w:rFonts w:ascii="Calibri" w:hAnsi="Calibri" w:cs="Times New Roman"/>
          <w:i/>
          <w:iCs/>
          <w:noProof/>
          <w:sz w:val="24"/>
          <w:szCs w:val="24"/>
        </w:rPr>
        <w:t>Computational Methods in Molecular Biology</w:t>
      </w:r>
      <w:r w:rsidRPr="00BA01ED">
        <w:rPr>
          <w:rFonts w:ascii="Calibri" w:hAnsi="Calibri" w:cs="Times New Roman"/>
          <w:noProof/>
          <w:sz w:val="24"/>
          <w:szCs w:val="24"/>
        </w:rPr>
        <w:t xml:space="preserve"> (pp. 3–10). Elsevier Science B.V. Retrieved from https://app.knovel.com/web/view/khtml/show.v/rcid:kpCMMB0001/cid:kt00BYFA5K/viewerType:khtml/root_slug:1-grand-challenges-in-computational-biology/url_slug:grand-challenges-in-computational?b-toc-cid=kpCMMB0001&amp;b-toc-root-slug=&amp;b-toc-url-slug=grand-challe</w:t>
      </w:r>
    </w:p>
    <w:p w:rsidR="00BA01ED" w:rsidRPr="00BA01ED" w:rsidRDefault="00BA01ED" w:rsidP="00BA01ED">
      <w:pPr>
        <w:widowControl w:val="0"/>
        <w:autoSpaceDE w:val="0"/>
        <w:autoSpaceDN w:val="0"/>
        <w:adjustRightInd w:val="0"/>
        <w:ind w:left="480" w:hanging="480"/>
        <w:rPr>
          <w:rFonts w:ascii="Calibri" w:hAnsi="Calibri"/>
          <w:noProof/>
          <w:sz w:val="24"/>
        </w:rPr>
      </w:pPr>
      <w:r w:rsidRPr="00BA01ED">
        <w:rPr>
          <w:rFonts w:ascii="Calibri" w:hAnsi="Calibri" w:cs="Times New Roman"/>
          <w:noProof/>
          <w:sz w:val="24"/>
          <w:szCs w:val="24"/>
        </w:rPr>
        <w:t xml:space="preserve">Ulmschneider, M. B., &amp; Sansom, M. S. P. (2001). Amino acid distributions in integral membrane protein structures. </w:t>
      </w:r>
      <w:r w:rsidRPr="00BA01ED">
        <w:rPr>
          <w:rFonts w:ascii="Calibri" w:hAnsi="Calibri" w:cs="Times New Roman"/>
          <w:i/>
          <w:iCs/>
          <w:noProof/>
          <w:sz w:val="24"/>
          <w:szCs w:val="24"/>
        </w:rPr>
        <w:t>Biochim Biophys Acta</w:t>
      </w:r>
      <w:r w:rsidRPr="00BA01ED">
        <w:rPr>
          <w:rFonts w:ascii="Calibri" w:hAnsi="Calibri" w:cs="Times New Roman"/>
          <w:noProof/>
          <w:sz w:val="24"/>
          <w:szCs w:val="24"/>
        </w:rPr>
        <w:t xml:space="preserve">, </w:t>
      </w:r>
      <w:r w:rsidRPr="00BA01ED">
        <w:rPr>
          <w:rFonts w:ascii="Calibri" w:hAnsi="Calibri" w:cs="Times New Roman"/>
          <w:i/>
          <w:iCs/>
          <w:noProof/>
          <w:sz w:val="24"/>
          <w:szCs w:val="24"/>
        </w:rPr>
        <w:t>1512</w:t>
      </w:r>
      <w:r w:rsidRPr="00BA01ED">
        <w:rPr>
          <w:rFonts w:ascii="Calibri" w:hAnsi="Calibri" w:cs="Times New Roman"/>
          <w:noProof/>
          <w:sz w:val="24"/>
          <w:szCs w:val="24"/>
        </w:rPr>
        <w:t>(1), 1–14. https://doi.org/10.1016/S0005-2736(01)00299-1</w:t>
      </w:r>
    </w:p>
    <w:p w:rsidR="00BA01ED" w:rsidRPr="00BA01ED" w:rsidRDefault="00BA01ED" w:rsidP="00BA01ED">
      <w:pPr>
        <w:rPr>
          <w:sz w:val="24"/>
        </w:rPr>
      </w:pPr>
      <w:r>
        <w:rPr>
          <w:sz w:val="24"/>
        </w:rPr>
        <w:fldChar w:fldCharType="end"/>
      </w:r>
    </w:p>
    <w:sectPr w:rsidR="00BA01ED" w:rsidRPr="00BA0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E2E08"/>
    <w:multiLevelType w:val="hybridMultilevel"/>
    <w:tmpl w:val="99F84FCA"/>
    <w:lvl w:ilvl="0" w:tplc="2E5275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B2"/>
    <w:rsid w:val="00002C04"/>
    <w:rsid w:val="00036901"/>
    <w:rsid w:val="000369E7"/>
    <w:rsid w:val="00056D56"/>
    <w:rsid w:val="00057801"/>
    <w:rsid w:val="00087672"/>
    <w:rsid w:val="000B7111"/>
    <w:rsid w:val="000C0865"/>
    <w:rsid w:val="000F79D5"/>
    <w:rsid w:val="001016D0"/>
    <w:rsid w:val="00102FDC"/>
    <w:rsid w:val="00122CCD"/>
    <w:rsid w:val="001C6C08"/>
    <w:rsid w:val="001D75B9"/>
    <w:rsid w:val="00201A62"/>
    <w:rsid w:val="0024265A"/>
    <w:rsid w:val="00264E66"/>
    <w:rsid w:val="00281D50"/>
    <w:rsid w:val="002A4D76"/>
    <w:rsid w:val="00300C85"/>
    <w:rsid w:val="00355293"/>
    <w:rsid w:val="003B5979"/>
    <w:rsid w:val="003C0B43"/>
    <w:rsid w:val="00415FC4"/>
    <w:rsid w:val="00486D27"/>
    <w:rsid w:val="004B751A"/>
    <w:rsid w:val="00517AED"/>
    <w:rsid w:val="0055782B"/>
    <w:rsid w:val="005B7007"/>
    <w:rsid w:val="005C4F1F"/>
    <w:rsid w:val="005D37A5"/>
    <w:rsid w:val="005E4E90"/>
    <w:rsid w:val="0060082E"/>
    <w:rsid w:val="0061419C"/>
    <w:rsid w:val="00643057"/>
    <w:rsid w:val="0068545A"/>
    <w:rsid w:val="006A4D9D"/>
    <w:rsid w:val="006C0438"/>
    <w:rsid w:val="006C65F5"/>
    <w:rsid w:val="006E6F77"/>
    <w:rsid w:val="00734434"/>
    <w:rsid w:val="007575C1"/>
    <w:rsid w:val="00760C5E"/>
    <w:rsid w:val="00761FB2"/>
    <w:rsid w:val="007C45A0"/>
    <w:rsid w:val="007C58B6"/>
    <w:rsid w:val="007D490F"/>
    <w:rsid w:val="00801135"/>
    <w:rsid w:val="00836EC4"/>
    <w:rsid w:val="008801E5"/>
    <w:rsid w:val="00881652"/>
    <w:rsid w:val="00883BD9"/>
    <w:rsid w:val="00895152"/>
    <w:rsid w:val="008C1F6A"/>
    <w:rsid w:val="008F384B"/>
    <w:rsid w:val="008F7692"/>
    <w:rsid w:val="00902BF2"/>
    <w:rsid w:val="009130CA"/>
    <w:rsid w:val="00943DA9"/>
    <w:rsid w:val="0094612D"/>
    <w:rsid w:val="00947C6E"/>
    <w:rsid w:val="009631DB"/>
    <w:rsid w:val="009706B1"/>
    <w:rsid w:val="009A2D3D"/>
    <w:rsid w:val="009F5B16"/>
    <w:rsid w:val="00A110A9"/>
    <w:rsid w:val="00A350C9"/>
    <w:rsid w:val="00A559D1"/>
    <w:rsid w:val="00A96DB2"/>
    <w:rsid w:val="00B1681C"/>
    <w:rsid w:val="00B70398"/>
    <w:rsid w:val="00B7168C"/>
    <w:rsid w:val="00B914AA"/>
    <w:rsid w:val="00BA01ED"/>
    <w:rsid w:val="00BA7287"/>
    <w:rsid w:val="00BF368B"/>
    <w:rsid w:val="00C470FC"/>
    <w:rsid w:val="00C6670E"/>
    <w:rsid w:val="00C72DA7"/>
    <w:rsid w:val="00C90AAC"/>
    <w:rsid w:val="00CF428F"/>
    <w:rsid w:val="00CF4A90"/>
    <w:rsid w:val="00D1085D"/>
    <w:rsid w:val="00D13C53"/>
    <w:rsid w:val="00D37B0E"/>
    <w:rsid w:val="00D56840"/>
    <w:rsid w:val="00D94C2C"/>
    <w:rsid w:val="00E061FC"/>
    <w:rsid w:val="00E226B3"/>
    <w:rsid w:val="00E445CA"/>
    <w:rsid w:val="00E44E2B"/>
    <w:rsid w:val="00E5604C"/>
    <w:rsid w:val="00E62384"/>
    <w:rsid w:val="00E66BA9"/>
    <w:rsid w:val="00E749E1"/>
    <w:rsid w:val="00EC08B3"/>
    <w:rsid w:val="00ED45B2"/>
    <w:rsid w:val="00F40489"/>
    <w:rsid w:val="00F545D0"/>
    <w:rsid w:val="00F56DDD"/>
    <w:rsid w:val="00F77E10"/>
    <w:rsid w:val="00F943AE"/>
    <w:rsid w:val="00FE0288"/>
    <w:rsid w:val="00FF29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801"/>
    <w:pPr>
      <w:spacing w:after="0" w:line="240"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801"/>
    <w:pPr>
      <w:ind w:left="720"/>
      <w:contextualSpacing/>
    </w:pPr>
  </w:style>
  <w:style w:type="paragraph" w:styleId="BalloonText">
    <w:name w:val="Balloon Text"/>
    <w:basedOn w:val="Normal"/>
    <w:link w:val="BalloonTextChar"/>
    <w:uiPriority w:val="99"/>
    <w:semiHidden/>
    <w:unhideWhenUsed/>
    <w:rsid w:val="009130CA"/>
    <w:rPr>
      <w:rFonts w:ascii="Tahoma" w:hAnsi="Tahoma" w:cs="Tahoma"/>
      <w:sz w:val="16"/>
      <w:szCs w:val="16"/>
    </w:rPr>
  </w:style>
  <w:style w:type="character" w:customStyle="1" w:styleId="BalloonTextChar">
    <w:name w:val="Balloon Text Char"/>
    <w:basedOn w:val="DefaultParagraphFont"/>
    <w:link w:val="BalloonText"/>
    <w:uiPriority w:val="99"/>
    <w:semiHidden/>
    <w:rsid w:val="009130CA"/>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801"/>
    <w:pPr>
      <w:spacing w:after="0" w:line="240"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801"/>
    <w:pPr>
      <w:ind w:left="720"/>
      <w:contextualSpacing/>
    </w:pPr>
  </w:style>
  <w:style w:type="paragraph" w:styleId="BalloonText">
    <w:name w:val="Balloon Text"/>
    <w:basedOn w:val="Normal"/>
    <w:link w:val="BalloonTextChar"/>
    <w:uiPriority w:val="99"/>
    <w:semiHidden/>
    <w:unhideWhenUsed/>
    <w:rsid w:val="009130CA"/>
    <w:rPr>
      <w:rFonts w:ascii="Tahoma" w:hAnsi="Tahoma" w:cs="Tahoma"/>
      <w:sz w:val="16"/>
      <w:szCs w:val="16"/>
    </w:rPr>
  </w:style>
  <w:style w:type="character" w:customStyle="1" w:styleId="BalloonTextChar">
    <w:name w:val="Balloon Text Char"/>
    <w:basedOn w:val="DefaultParagraphFont"/>
    <w:link w:val="BalloonText"/>
    <w:uiPriority w:val="99"/>
    <w:semiHidden/>
    <w:rsid w:val="009130CA"/>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6A5D-22C1-442E-88AF-CD8B7007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2430</TotalTime>
  <Pages>5</Pages>
  <Words>5760</Words>
  <Characters>32834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Portillo</dc:creator>
  <cp:lastModifiedBy>Sam Portillo</cp:lastModifiedBy>
  <cp:revision>89</cp:revision>
  <dcterms:created xsi:type="dcterms:W3CDTF">2017-11-24T00:29:00Z</dcterms:created>
  <dcterms:modified xsi:type="dcterms:W3CDTF">2017-11-26T08:40:00Z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89ecdb59-816a-3fac-ad11-783aa2f1159f</vt:lpwstr>
  </property>
  <property fmtid="{D5CDD505-2E9C-101B-9397-08002B2CF9AE}" pid="24" name="Mendeley Citation Style_1">
    <vt:lpwstr>http://www.zotero.org/styles/apa</vt:lpwstr>
  </property>
</Properties>
</file>