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AE1" w:rsidRPr="00537EE8" w:rsidRDefault="00C64AE1" w:rsidP="00C64AE1">
      <w:pPr>
        <w:spacing w:line="240" w:lineRule="auto"/>
        <w:jc w:val="center"/>
        <w:rPr>
          <w:rFonts w:ascii="Times New Roman" w:hAnsi="Times New Roman" w:cs="Times New Roman"/>
          <w:b/>
          <w:sz w:val="24"/>
          <w:szCs w:val="24"/>
        </w:rPr>
      </w:pPr>
      <w:r w:rsidRPr="00537EE8">
        <w:rPr>
          <w:rFonts w:ascii="Times New Roman" w:hAnsi="Times New Roman" w:cs="Times New Roman"/>
          <w:b/>
          <w:sz w:val="24"/>
          <w:szCs w:val="24"/>
        </w:rPr>
        <w:t xml:space="preserve">How does CagA in </w:t>
      </w:r>
      <w:r w:rsidR="00390B9D" w:rsidRPr="00537EE8">
        <w:rPr>
          <w:rFonts w:ascii="Times New Roman" w:hAnsi="Times New Roman" w:cs="Times New Roman"/>
          <w:b/>
          <w:i/>
          <w:sz w:val="24"/>
          <w:szCs w:val="24"/>
        </w:rPr>
        <w:t>H. pylori</w:t>
      </w:r>
      <w:r w:rsidRPr="00537EE8">
        <w:rPr>
          <w:rFonts w:ascii="Times New Roman" w:hAnsi="Times New Roman" w:cs="Times New Roman"/>
          <w:b/>
          <w:sz w:val="24"/>
          <w:szCs w:val="24"/>
        </w:rPr>
        <w:t xml:space="preserve"> contribute to apoptosis in gastric cancer cells?</w:t>
      </w:r>
    </w:p>
    <w:p w:rsidR="00C64AE1" w:rsidRPr="00537EE8" w:rsidRDefault="00C64AE1" w:rsidP="00C64AE1">
      <w:pPr>
        <w:spacing w:line="240" w:lineRule="auto"/>
        <w:jc w:val="center"/>
        <w:rPr>
          <w:rFonts w:ascii="Times New Roman" w:hAnsi="Times New Roman" w:cs="Times New Roman"/>
          <w:b/>
          <w:sz w:val="24"/>
          <w:szCs w:val="24"/>
        </w:rPr>
      </w:pPr>
      <w:r w:rsidRPr="00537EE8">
        <w:rPr>
          <w:rFonts w:ascii="Times New Roman" w:hAnsi="Times New Roman" w:cs="Times New Roman"/>
          <w:b/>
          <w:sz w:val="24"/>
          <w:szCs w:val="24"/>
        </w:rPr>
        <w:t>Angela Michalak</w:t>
      </w:r>
    </w:p>
    <w:p w:rsidR="00C64AE1" w:rsidRPr="00537EE8" w:rsidRDefault="00C64AE1" w:rsidP="00C64AE1">
      <w:pPr>
        <w:rPr>
          <w:rFonts w:ascii="Times New Roman" w:hAnsi="Times New Roman" w:cs="Times New Roman"/>
          <w:b/>
          <w:sz w:val="24"/>
          <w:szCs w:val="24"/>
        </w:rPr>
      </w:pPr>
      <w:r w:rsidRPr="00537EE8">
        <w:rPr>
          <w:rFonts w:ascii="Times New Roman" w:hAnsi="Times New Roman" w:cs="Times New Roman"/>
          <w:b/>
          <w:sz w:val="24"/>
          <w:szCs w:val="24"/>
        </w:rPr>
        <w:t>I. Introduction</w:t>
      </w:r>
    </w:p>
    <w:p w:rsidR="00AA2CF3" w:rsidRPr="00537EE8" w:rsidRDefault="00563A08"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Gastric cancer, also known as stomach cancer, is cancer that begins in the stomach</w:t>
      </w:r>
      <w:r w:rsidR="000E21BA" w:rsidRPr="00537EE8">
        <w:rPr>
          <w:rFonts w:ascii="Times New Roman" w:hAnsi="Times New Roman" w:cs="Times New Roman"/>
          <w:sz w:val="24"/>
          <w:szCs w:val="24"/>
        </w:rPr>
        <w:t xml:space="preserve"> and can be caused by a decrease in apoptosis</w:t>
      </w:r>
      <w:r w:rsidR="00AA2CF3" w:rsidRPr="00537EE8">
        <w:rPr>
          <w:rFonts w:ascii="Times New Roman" w:hAnsi="Times New Roman" w:cs="Times New Roman"/>
          <w:sz w:val="24"/>
          <w:szCs w:val="24"/>
        </w:rPr>
        <w:t xml:space="preserve"> </w:t>
      </w:r>
      <w:r w:rsidR="000E21BA" w:rsidRPr="00537EE8">
        <w:rPr>
          <w:rFonts w:ascii="Times New Roman" w:hAnsi="Times New Roman" w:cs="Times New Roman"/>
          <w:sz w:val="24"/>
          <w:szCs w:val="24"/>
        </w:rPr>
        <w:t>or an increase in cell proliferation</w:t>
      </w:r>
      <w:r w:rsidR="00390B9D" w:rsidRPr="00537EE8">
        <w:rPr>
          <w:rFonts w:ascii="Times New Roman" w:hAnsi="Times New Roman" w:cs="Times New Roman"/>
          <w:sz w:val="24"/>
          <w:szCs w:val="24"/>
        </w:rPr>
        <w:t xml:space="preserve"> (American Cancer Society, 2017)</w:t>
      </w:r>
      <w:r w:rsidR="00AA2CF3" w:rsidRPr="00537EE8">
        <w:rPr>
          <w:rFonts w:ascii="Times New Roman" w:hAnsi="Times New Roman" w:cs="Times New Roman"/>
          <w:sz w:val="24"/>
          <w:szCs w:val="24"/>
        </w:rPr>
        <w:t xml:space="preserve">. </w:t>
      </w:r>
      <w:r w:rsidR="005D3833" w:rsidRPr="00537EE8">
        <w:rPr>
          <w:rFonts w:ascii="Times New Roman" w:hAnsi="Times New Roman" w:cs="Times New Roman"/>
          <w:sz w:val="24"/>
          <w:szCs w:val="24"/>
        </w:rPr>
        <w:t>In people who do not have cancer, apoptosis will occur which is when cells will trigger a series of events in order to make room for newer cells, eliminate unhealthy cells, or to get rid of unnecessary cells</w:t>
      </w:r>
      <w:r w:rsidR="00390B9D" w:rsidRPr="00537EE8">
        <w:rPr>
          <w:rFonts w:ascii="Times New Roman" w:hAnsi="Times New Roman" w:cs="Times New Roman"/>
          <w:sz w:val="24"/>
          <w:szCs w:val="24"/>
        </w:rPr>
        <w:t xml:space="preserve"> (Apoptosis, 2016)</w:t>
      </w:r>
      <w:r w:rsidR="005D3833" w:rsidRPr="00537EE8">
        <w:rPr>
          <w:rFonts w:ascii="Times New Roman" w:hAnsi="Times New Roman" w:cs="Times New Roman"/>
          <w:sz w:val="24"/>
          <w:szCs w:val="24"/>
        </w:rPr>
        <w:t>.</w:t>
      </w:r>
      <w:r w:rsidR="00AA2CF3" w:rsidRPr="00537EE8">
        <w:rPr>
          <w:rFonts w:ascii="Times New Roman" w:hAnsi="Times New Roman" w:cs="Times New Roman"/>
          <w:sz w:val="24"/>
          <w:szCs w:val="24"/>
        </w:rPr>
        <w:t xml:space="preserve"> In cancerous cells, apoptosis can be hindered or completely evaded which can lead to uncontrolled cell division</w:t>
      </w:r>
      <w:r w:rsidR="00390B9D" w:rsidRPr="00537EE8">
        <w:rPr>
          <w:rFonts w:ascii="Times New Roman" w:hAnsi="Times New Roman" w:cs="Times New Roman"/>
          <w:sz w:val="24"/>
          <w:szCs w:val="24"/>
        </w:rPr>
        <w:t xml:space="preserve"> (</w:t>
      </w:r>
      <w:r w:rsidR="00F62F34" w:rsidRPr="00537EE8">
        <w:rPr>
          <w:rFonts w:ascii="Times New Roman" w:hAnsi="Times New Roman" w:cs="Times New Roman"/>
          <w:sz w:val="24"/>
          <w:szCs w:val="24"/>
        </w:rPr>
        <w:t>Gutschner &amp; Diederichs, 2012</w:t>
      </w:r>
      <w:r w:rsidR="00390B9D" w:rsidRPr="00537EE8">
        <w:rPr>
          <w:rFonts w:ascii="Times New Roman" w:hAnsi="Times New Roman" w:cs="Times New Roman"/>
          <w:sz w:val="24"/>
          <w:szCs w:val="24"/>
        </w:rPr>
        <w:t>).</w:t>
      </w:r>
      <w:r w:rsidR="00AA2CF3" w:rsidRPr="00537EE8">
        <w:rPr>
          <w:rFonts w:ascii="Times New Roman" w:hAnsi="Times New Roman" w:cs="Times New Roman"/>
          <w:sz w:val="24"/>
          <w:szCs w:val="24"/>
        </w:rPr>
        <w:t xml:space="preserve"> </w:t>
      </w:r>
    </w:p>
    <w:p w:rsidR="005D3833" w:rsidRPr="00537EE8" w:rsidRDefault="00AA2CF3" w:rsidP="00C64AE1">
      <w:pPr>
        <w:spacing w:line="240" w:lineRule="auto"/>
        <w:rPr>
          <w:rFonts w:ascii="Times New Roman" w:hAnsi="Times New Roman" w:cs="Times New Roman"/>
          <w:sz w:val="24"/>
          <w:szCs w:val="24"/>
        </w:rPr>
      </w:pPr>
      <w:r w:rsidRPr="00537EE8">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page">
              <wp:posOffset>4099560</wp:posOffset>
            </wp:positionH>
            <wp:positionV relativeFrom="paragraph">
              <wp:posOffset>82550</wp:posOffset>
            </wp:positionV>
            <wp:extent cx="3549650" cy="3475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610" t="29382" r="58976" b="10716"/>
                    <a:stretch/>
                  </pic:blipFill>
                  <pic:spPr bwMode="auto">
                    <a:xfrm>
                      <a:off x="0" y="0"/>
                      <a:ext cx="3549650" cy="347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A08" w:rsidRPr="00537EE8">
        <w:rPr>
          <w:rFonts w:ascii="Times New Roman" w:hAnsi="Times New Roman" w:cs="Times New Roman"/>
          <w:sz w:val="24"/>
          <w:szCs w:val="24"/>
        </w:rPr>
        <w:t xml:space="preserve"> </w:t>
      </w:r>
      <w:r w:rsidR="00CB1BB5" w:rsidRPr="00537EE8">
        <w:rPr>
          <w:rFonts w:ascii="Times New Roman" w:hAnsi="Times New Roman" w:cs="Times New Roman"/>
          <w:sz w:val="24"/>
          <w:szCs w:val="24"/>
        </w:rPr>
        <w:t>The American Cancer society</w:t>
      </w:r>
      <w:r w:rsidR="00390B9D" w:rsidRPr="00537EE8">
        <w:rPr>
          <w:rFonts w:ascii="Times New Roman" w:hAnsi="Times New Roman" w:cs="Times New Roman"/>
          <w:sz w:val="24"/>
          <w:szCs w:val="24"/>
        </w:rPr>
        <w:t xml:space="preserve"> (2017)</w:t>
      </w:r>
      <w:r w:rsidR="00CB1BB5" w:rsidRPr="00537EE8">
        <w:rPr>
          <w:rFonts w:ascii="Times New Roman" w:hAnsi="Times New Roman" w:cs="Times New Roman"/>
          <w:sz w:val="24"/>
          <w:szCs w:val="24"/>
        </w:rPr>
        <w:t xml:space="preserve"> </w:t>
      </w:r>
      <w:r w:rsidR="00563A08" w:rsidRPr="00537EE8">
        <w:rPr>
          <w:rFonts w:ascii="Times New Roman" w:hAnsi="Times New Roman" w:cs="Times New Roman"/>
          <w:sz w:val="24"/>
          <w:szCs w:val="24"/>
        </w:rPr>
        <w:t xml:space="preserve">estimated that </w:t>
      </w:r>
      <w:r w:rsidR="00CB1BB5" w:rsidRPr="00537EE8">
        <w:rPr>
          <w:rFonts w:ascii="Times New Roman" w:hAnsi="Times New Roman" w:cs="Times New Roman"/>
          <w:sz w:val="24"/>
          <w:szCs w:val="24"/>
        </w:rPr>
        <w:t xml:space="preserve">for 2017, </w:t>
      </w:r>
      <w:r w:rsidR="00563A08" w:rsidRPr="00537EE8">
        <w:rPr>
          <w:rFonts w:ascii="Times New Roman" w:hAnsi="Times New Roman" w:cs="Times New Roman"/>
          <w:sz w:val="24"/>
          <w:szCs w:val="24"/>
        </w:rPr>
        <w:t>28,000 people will be diagnosed with stomach cancer and of those 28,000 people, 10,960 peo</w:t>
      </w:r>
      <w:r w:rsidR="00CB1BB5" w:rsidRPr="00537EE8">
        <w:rPr>
          <w:rFonts w:ascii="Times New Roman" w:hAnsi="Times New Roman" w:cs="Times New Roman"/>
          <w:sz w:val="24"/>
          <w:szCs w:val="24"/>
        </w:rPr>
        <w:t>ple will die</w:t>
      </w:r>
      <w:r w:rsidR="00563A08" w:rsidRPr="00537EE8">
        <w:rPr>
          <w:rFonts w:ascii="Times New Roman" w:hAnsi="Times New Roman" w:cs="Times New Roman"/>
          <w:sz w:val="24"/>
          <w:szCs w:val="24"/>
        </w:rPr>
        <w:t>. Until the 1930’s gastric cancer was the leading cause of cancer-related deaths in both the Unites States and the world. Today, gastric cancer is still the second leading cause of cancer-related deaths worldwide</w:t>
      </w:r>
      <w:r w:rsidR="00390B9D" w:rsidRPr="00537EE8">
        <w:rPr>
          <w:rFonts w:ascii="Times New Roman" w:hAnsi="Times New Roman" w:cs="Times New Roman"/>
          <w:sz w:val="24"/>
          <w:szCs w:val="24"/>
        </w:rPr>
        <w:t xml:space="preserve"> (American Cancer society, 2017)</w:t>
      </w:r>
      <w:r w:rsidR="00563A08" w:rsidRPr="00537EE8">
        <w:rPr>
          <w:rFonts w:ascii="Times New Roman" w:hAnsi="Times New Roman" w:cs="Times New Roman"/>
          <w:sz w:val="24"/>
          <w:szCs w:val="24"/>
        </w:rPr>
        <w:t xml:space="preserve">. </w:t>
      </w:r>
    </w:p>
    <w:p w:rsidR="00DF0F8D" w:rsidRPr="00537EE8" w:rsidRDefault="005D3833" w:rsidP="00C64AE1">
      <w:pPr>
        <w:spacing w:line="240" w:lineRule="auto"/>
        <w:rPr>
          <w:rFonts w:ascii="Times New Roman" w:hAnsi="Times New Roman" w:cs="Times New Roman"/>
          <w:sz w:val="24"/>
          <w:szCs w:val="24"/>
        </w:rPr>
      </w:pPr>
      <w:r w:rsidRPr="00537EE8">
        <w:rPr>
          <w:rFonts w:ascii="Times New Roman" w:hAnsi="Times New Roman" w:cs="Times New Roman"/>
          <w:i/>
          <w:noProof/>
          <w:sz w:val="24"/>
          <w:szCs w:val="24"/>
        </w:rPr>
        <mc:AlternateContent>
          <mc:Choice Requires="wps">
            <w:drawing>
              <wp:anchor distT="45720" distB="45720" distL="114300" distR="114300" simplePos="0" relativeHeight="251660288" behindDoc="0" locked="0" layoutInCell="1" allowOverlap="1">
                <wp:simplePos x="0" y="0"/>
                <wp:positionH relativeFrom="column">
                  <wp:posOffset>3084830</wp:posOffset>
                </wp:positionH>
                <wp:positionV relativeFrom="paragraph">
                  <wp:posOffset>1971040</wp:posOffset>
                </wp:positionV>
                <wp:extent cx="3276600" cy="592455"/>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92455"/>
                        </a:xfrm>
                        <a:prstGeom prst="rect">
                          <a:avLst/>
                        </a:prstGeom>
                        <a:solidFill>
                          <a:srgbClr val="FFFFFF"/>
                        </a:solidFill>
                        <a:ln w="9525">
                          <a:solidFill>
                            <a:srgbClr val="000000"/>
                          </a:solidFill>
                          <a:miter lim="800000"/>
                          <a:headEnd/>
                          <a:tailEnd/>
                        </a:ln>
                      </wps:spPr>
                      <wps:txb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sz w:val="16"/>
                                <w:szCs w:val="16"/>
                              </w:rPr>
                              <w:t xml:space="preserve">Figure 1: </w:t>
                            </w:r>
                            <w:r w:rsidRPr="00FF5942">
                              <w:rPr>
                                <w:rFonts w:ascii="Times New Roman" w:hAnsi="Times New Roman" w:cs="Times New Roman"/>
                                <w:color w:val="000000"/>
                                <w:sz w:val="16"/>
                                <w:szCs w:val="16"/>
                                <w:shd w:val="clear" w:color="auto" w:fill="FFFFFF"/>
                              </w:rPr>
                              <w:t xml:space="preserve">Multifactorial pathway leading to gastric carcinoma. Many host, bacterial, and environmental factors act in combination to contribute to the precancerous cascade leading to development of gastric cancer. From Wroblewski et 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9pt;margin-top:155.2pt;width:258pt;height:46.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">
                <v:textbo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sz w:val="16"/>
                          <w:szCs w:val="16"/>
                        </w:rPr>
                        <w:t xml:space="preserve">Figure 1: </w:t>
                      </w:r>
                      <w:r w:rsidRPr="00FF5942">
                        <w:rPr>
                          <w:rFonts w:ascii="Times New Roman" w:hAnsi="Times New Roman" w:cs="Times New Roman"/>
                          <w:color w:val="000000"/>
                          <w:sz w:val="16"/>
                          <w:szCs w:val="16"/>
                          <w:shd w:val="clear" w:color="auto" w:fill="FFFFFF"/>
                        </w:rPr>
                        <w:t xml:space="preserve">Multifactorial pathway leading to gastric carcinoma. Many host, bacterial, and environmental factors act in combination to contribute to the precancerous cascade leading to development of gastric cancer. From Wroblewski et al. </w:t>
                      </w:r>
                    </w:p>
                  </w:txbxContent>
                </v:textbox>
                <w10:wrap type="square"/>
              </v:shape>
            </w:pict>
          </mc:Fallback>
        </mc:AlternateContent>
      </w:r>
      <w:r w:rsidR="00C62074" w:rsidRPr="00537EE8">
        <w:rPr>
          <w:rFonts w:ascii="Times New Roman" w:hAnsi="Times New Roman" w:cs="Times New Roman"/>
          <w:sz w:val="24"/>
          <w:szCs w:val="24"/>
        </w:rPr>
        <w:t>Some of the potential factors that influence the development of gastric cancer are access to refrigeration for food storage, salt intake, use of antibiotics, smoking cigarettes, and</w:t>
      </w:r>
      <w:r w:rsidR="00696D4D" w:rsidRPr="00537EE8">
        <w:rPr>
          <w:rFonts w:ascii="Times New Roman" w:hAnsi="Times New Roman" w:cs="Times New Roman"/>
          <w:sz w:val="24"/>
          <w:szCs w:val="24"/>
        </w:rPr>
        <w:t xml:space="preserve"> other infections such as </w:t>
      </w:r>
      <w:r w:rsidR="00C62074" w:rsidRPr="00537EE8">
        <w:rPr>
          <w:rFonts w:ascii="Times New Roman" w:hAnsi="Times New Roman" w:cs="Times New Roman"/>
          <w:sz w:val="24"/>
          <w:szCs w:val="24"/>
        </w:rPr>
        <w:t>helminth infection</w:t>
      </w:r>
      <w:r w:rsidR="00390B9D" w:rsidRPr="00537EE8">
        <w:rPr>
          <w:rFonts w:ascii="Times New Roman" w:hAnsi="Times New Roman" w:cs="Times New Roman"/>
          <w:sz w:val="24"/>
          <w:szCs w:val="24"/>
        </w:rPr>
        <w:t xml:space="preserve"> (Wroblewski et al., 2010)</w:t>
      </w:r>
      <w:r w:rsidR="00C62074" w:rsidRPr="00537EE8">
        <w:rPr>
          <w:rFonts w:ascii="Times New Roman" w:hAnsi="Times New Roman" w:cs="Times New Roman"/>
          <w:sz w:val="24"/>
          <w:szCs w:val="24"/>
        </w:rPr>
        <w:t xml:space="preserve">. </w:t>
      </w:r>
      <w:r w:rsidR="00AC2109" w:rsidRPr="00537EE8">
        <w:rPr>
          <w:rFonts w:ascii="Times New Roman" w:hAnsi="Times New Roman" w:cs="Times New Roman"/>
          <w:sz w:val="24"/>
          <w:szCs w:val="24"/>
        </w:rPr>
        <w:t xml:space="preserve">Some doctors believe that </w:t>
      </w:r>
      <w:r w:rsidR="00D55E33" w:rsidRPr="00537EE8">
        <w:rPr>
          <w:rFonts w:ascii="Times New Roman" w:hAnsi="Times New Roman" w:cs="Times New Roman"/>
          <w:sz w:val="24"/>
          <w:szCs w:val="24"/>
        </w:rPr>
        <w:t>t</w:t>
      </w:r>
      <w:r w:rsidR="00AC2109" w:rsidRPr="00537EE8">
        <w:rPr>
          <w:rFonts w:ascii="Times New Roman" w:hAnsi="Times New Roman" w:cs="Times New Roman"/>
          <w:sz w:val="24"/>
          <w:szCs w:val="24"/>
        </w:rPr>
        <w:t>he increased ability to refrigerate food in developed countries has contributed to an increase in the availability of fresh fruits and vegetables and a decrease in the use of salt and smoked foods which has contributed to the decline in gastric cancer diagnosis</w:t>
      </w:r>
      <w:r w:rsidR="00390B9D" w:rsidRPr="00537EE8">
        <w:rPr>
          <w:rFonts w:ascii="Times New Roman" w:hAnsi="Times New Roman" w:cs="Times New Roman"/>
          <w:sz w:val="24"/>
          <w:szCs w:val="24"/>
        </w:rPr>
        <w:t xml:space="preserve"> (American Cancer Society, 2017)</w:t>
      </w:r>
      <w:r w:rsidR="00AC2109" w:rsidRPr="00537EE8">
        <w:rPr>
          <w:rFonts w:ascii="Times New Roman" w:hAnsi="Times New Roman" w:cs="Times New Roman"/>
          <w:sz w:val="24"/>
          <w:szCs w:val="24"/>
        </w:rPr>
        <w:t xml:space="preserve">. It is also believed that the use of antibiotics has contributed to the decline in gastric cancer by killing specific bacteria such as </w:t>
      </w:r>
      <w:r w:rsidR="00AC2109" w:rsidRPr="00537EE8">
        <w:rPr>
          <w:rFonts w:ascii="Times New Roman" w:hAnsi="Times New Roman" w:cs="Times New Roman"/>
          <w:i/>
          <w:sz w:val="24"/>
          <w:szCs w:val="24"/>
        </w:rPr>
        <w:t>Helicobacter pylori</w:t>
      </w:r>
      <w:r w:rsidR="00696D4D" w:rsidRPr="00537EE8">
        <w:rPr>
          <w:rFonts w:ascii="Times New Roman" w:hAnsi="Times New Roman" w:cs="Times New Roman"/>
          <w:sz w:val="24"/>
          <w:szCs w:val="24"/>
        </w:rPr>
        <w:t xml:space="preserve"> (</w:t>
      </w:r>
      <w:r w:rsidR="00696D4D" w:rsidRPr="00537EE8">
        <w:rPr>
          <w:rFonts w:ascii="Times New Roman" w:hAnsi="Times New Roman" w:cs="Times New Roman"/>
          <w:i/>
          <w:sz w:val="24"/>
          <w:szCs w:val="24"/>
        </w:rPr>
        <w:t>H.pylori</w:t>
      </w:r>
      <w:r w:rsidR="00696D4D" w:rsidRPr="00537EE8">
        <w:rPr>
          <w:rFonts w:ascii="Times New Roman" w:hAnsi="Times New Roman" w:cs="Times New Roman"/>
          <w:sz w:val="24"/>
          <w:szCs w:val="24"/>
        </w:rPr>
        <w:t>)</w:t>
      </w:r>
      <w:r w:rsidR="00AC2109" w:rsidRPr="00537EE8">
        <w:rPr>
          <w:rFonts w:ascii="Times New Roman" w:hAnsi="Times New Roman" w:cs="Times New Roman"/>
          <w:sz w:val="24"/>
          <w:szCs w:val="24"/>
        </w:rPr>
        <w:t xml:space="preserve"> which is believed to be a major cause of gastric cancer</w:t>
      </w:r>
      <w:r w:rsidR="00390B9D" w:rsidRPr="00537EE8">
        <w:rPr>
          <w:rFonts w:ascii="Times New Roman" w:hAnsi="Times New Roman" w:cs="Times New Roman"/>
          <w:sz w:val="24"/>
          <w:szCs w:val="24"/>
        </w:rPr>
        <w:t xml:space="preserve"> </w:t>
      </w:r>
      <w:r w:rsidR="00390B9D" w:rsidRPr="00537EE8">
        <w:rPr>
          <w:rFonts w:ascii="Times New Roman" w:hAnsi="Times New Roman" w:cs="Times New Roman"/>
          <w:sz w:val="24"/>
          <w:szCs w:val="24"/>
        </w:rPr>
        <w:t xml:space="preserve">(Wroblewski et al., 2010). </w:t>
      </w:r>
      <w:r w:rsidR="00AC2109" w:rsidRPr="00537EE8">
        <w:rPr>
          <w:rFonts w:ascii="Times New Roman" w:hAnsi="Times New Roman" w:cs="Times New Roman"/>
          <w:sz w:val="24"/>
          <w:szCs w:val="24"/>
        </w:rPr>
        <w:t xml:space="preserve"> </w:t>
      </w:r>
    </w:p>
    <w:p w:rsidR="00D175B0" w:rsidRPr="00537EE8" w:rsidRDefault="00696D4D" w:rsidP="00C64AE1">
      <w:pPr>
        <w:spacing w:line="240" w:lineRule="auto"/>
        <w:rPr>
          <w:rFonts w:ascii="Times New Roman" w:hAnsi="Times New Roman" w:cs="Times New Roman"/>
          <w:sz w:val="24"/>
          <w:szCs w:val="24"/>
        </w:rPr>
      </w:pPr>
      <w:r w:rsidRPr="00537EE8">
        <w:rPr>
          <w:rFonts w:ascii="Times New Roman" w:hAnsi="Times New Roman" w:cs="Times New Roman"/>
          <w:i/>
          <w:sz w:val="24"/>
          <w:szCs w:val="24"/>
        </w:rPr>
        <w:t>H.pylori</w:t>
      </w:r>
      <w:r w:rsidRPr="00537EE8">
        <w:rPr>
          <w:rFonts w:ascii="Times New Roman" w:hAnsi="Times New Roman" w:cs="Times New Roman"/>
          <w:sz w:val="24"/>
          <w:szCs w:val="24"/>
        </w:rPr>
        <w:t xml:space="preserve"> is a type of</w:t>
      </w:r>
      <w:r w:rsidR="004E1890" w:rsidRPr="00537EE8">
        <w:rPr>
          <w:rFonts w:ascii="Times New Roman" w:hAnsi="Times New Roman" w:cs="Times New Roman"/>
          <w:sz w:val="24"/>
          <w:szCs w:val="24"/>
        </w:rPr>
        <w:t xml:space="preserve"> spiral shaped</w:t>
      </w:r>
      <w:r w:rsidRPr="00537EE8">
        <w:rPr>
          <w:rFonts w:ascii="Times New Roman" w:hAnsi="Times New Roman" w:cs="Times New Roman"/>
          <w:sz w:val="24"/>
          <w:szCs w:val="24"/>
        </w:rPr>
        <w:t xml:space="preserve"> bacteria that is grown in the digestive tract</w:t>
      </w:r>
      <w:r w:rsidR="004E1890" w:rsidRPr="00537EE8">
        <w:rPr>
          <w:rFonts w:ascii="Times New Roman" w:hAnsi="Times New Roman" w:cs="Times New Roman"/>
          <w:sz w:val="24"/>
          <w:szCs w:val="24"/>
        </w:rPr>
        <w:t xml:space="preserve"> and it is estimated that around 50% of the world’s adult population contains </w:t>
      </w:r>
      <w:r w:rsidR="004E1890" w:rsidRPr="00537EE8">
        <w:rPr>
          <w:rFonts w:ascii="Times New Roman" w:hAnsi="Times New Roman" w:cs="Times New Roman"/>
          <w:i/>
          <w:sz w:val="24"/>
          <w:szCs w:val="24"/>
        </w:rPr>
        <w:t>H.pylori</w:t>
      </w:r>
      <w:r w:rsidR="004E1890" w:rsidRPr="00537EE8">
        <w:rPr>
          <w:rFonts w:ascii="Times New Roman" w:hAnsi="Times New Roman" w:cs="Times New Roman"/>
          <w:sz w:val="24"/>
          <w:szCs w:val="24"/>
        </w:rPr>
        <w:t xml:space="preserve"> within their digestive tract</w:t>
      </w:r>
      <w:r w:rsidR="00390B9D" w:rsidRPr="00537EE8">
        <w:rPr>
          <w:rFonts w:ascii="Times New Roman" w:hAnsi="Times New Roman" w:cs="Times New Roman"/>
          <w:sz w:val="24"/>
          <w:szCs w:val="24"/>
        </w:rPr>
        <w:t xml:space="preserve"> (</w:t>
      </w:r>
      <w:r w:rsidR="00390B9D" w:rsidRPr="00537EE8">
        <w:rPr>
          <w:rFonts w:ascii="Times New Roman" w:hAnsi="Times New Roman" w:cs="Times New Roman"/>
          <w:sz w:val="24"/>
          <w:szCs w:val="24"/>
        </w:rPr>
        <w:t xml:space="preserve">Wroblewski et al., 2010). </w:t>
      </w:r>
      <w:r w:rsidR="004E1890" w:rsidRPr="00537EE8">
        <w:rPr>
          <w:rFonts w:ascii="Times New Roman" w:hAnsi="Times New Roman" w:cs="Times New Roman"/>
          <w:sz w:val="24"/>
          <w:szCs w:val="24"/>
        </w:rPr>
        <w:t xml:space="preserve"> In most cases, </w:t>
      </w:r>
      <w:r w:rsidR="004E1890" w:rsidRPr="00537EE8">
        <w:rPr>
          <w:rFonts w:ascii="Times New Roman" w:hAnsi="Times New Roman" w:cs="Times New Roman"/>
          <w:i/>
          <w:sz w:val="24"/>
          <w:szCs w:val="24"/>
        </w:rPr>
        <w:t>H.pylori</w:t>
      </w:r>
      <w:r w:rsidR="004E1890" w:rsidRPr="00537EE8">
        <w:rPr>
          <w:rFonts w:ascii="Times New Roman" w:hAnsi="Times New Roman" w:cs="Times New Roman"/>
          <w:sz w:val="24"/>
          <w:szCs w:val="24"/>
        </w:rPr>
        <w:t xml:space="preserve"> is harmless, however, it can also lead to the development of diseases such as peptic ulcers and gastric cancer.</w:t>
      </w:r>
      <w:r w:rsidR="00150586" w:rsidRPr="00537EE8">
        <w:rPr>
          <w:rFonts w:ascii="Times New Roman" w:hAnsi="Times New Roman" w:cs="Times New Roman"/>
          <w:sz w:val="24"/>
          <w:szCs w:val="24"/>
        </w:rPr>
        <w:t xml:space="preserve"> Because of this,  </w:t>
      </w:r>
      <w:r w:rsidR="00390B9D" w:rsidRPr="00537EE8">
        <w:rPr>
          <w:rFonts w:ascii="Times New Roman" w:hAnsi="Times New Roman" w:cs="Times New Roman"/>
          <w:i/>
          <w:sz w:val="24"/>
          <w:szCs w:val="24"/>
        </w:rPr>
        <w:t>H. pylori</w:t>
      </w:r>
      <w:r w:rsidR="00150586" w:rsidRPr="00537EE8">
        <w:rPr>
          <w:rFonts w:ascii="Times New Roman" w:hAnsi="Times New Roman" w:cs="Times New Roman"/>
          <w:sz w:val="24"/>
          <w:szCs w:val="24"/>
        </w:rPr>
        <w:t xml:space="preserve"> is recognized as a group 1 carcinogen by the International Agency for Re</w:t>
      </w:r>
      <w:r w:rsidR="00D55E33" w:rsidRPr="00537EE8">
        <w:rPr>
          <w:rFonts w:ascii="Times New Roman" w:hAnsi="Times New Roman" w:cs="Times New Roman"/>
          <w:sz w:val="24"/>
          <w:szCs w:val="24"/>
        </w:rPr>
        <w:t xml:space="preserve">search on Cancer (IARC) </w:t>
      </w:r>
      <w:r w:rsidR="00150586" w:rsidRPr="00537EE8">
        <w:rPr>
          <w:rFonts w:ascii="Times New Roman" w:hAnsi="Times New Roman" w:cs="Times New Roman"/>
          <w:sz w:val="24"/>
          <w:szCs w:val="24"/>
        </w:rPr>
        <w:t xml:space="preserve">indicating that they concluded that </w:t>
      </w:r>
      <w:r w:rsidR="00390B9D" w:rsidRPr="00537EE8">
        <w:rPr>
          <w:rFonts w:ascii="Times New Roman" w:hAnsi="Times New Roman" w:cs="Times New Roman"/>
          <w:i/>
          <w:sz w:val="24"/>
          <w:szCs w:val="24"/>
        </w:rPr>
        <w:t>H. pylori</w:t>
      </w:r>
      <w:r w:rsidR="00150586" w:rsidRPr="00537EE8">
        <w:rPr>
          <w:rFonts w:ascii="Times New Roman" w:hAnsi="Times New Roman" w:cs="Times New Roman"/>
          <w:sz w:val="24"/>
          <w:szCs w:val="24"/>
        </w:rPr>
        <w:t xml:space="preserve"> has </w:t>
      </w:r>
      <w:r w:rsidR="00150586" w:rsidRPr="00537EE8">
        <w:rPr>
          <w:rFonts w:ascii="Times New Roman" w:hAnsi="Times New Roman" w:cs="Times New Roman"/>
          <w:sz w:val="24"/>
          <w:szCs w:val="24"/>
        </w:rPr>
        <w:lastRenderedPageBreak/>
        <w:t>the potential to cause cancer in humans</w:t>
      </w:r>
      <w:r w:rsidR="00390B9D" w:rsidRPr="00537EE8">
        <w:rPr>
          <w:rFonts w:ascii="Times New Roman" w:hAnsi="Times New Roman" w:cs="Times New Roman"/>
          <w:sz w:val="24"/>
          <w:szCs w:val="24"/>
        </w:rPr>
        <w:t xml:space="preserve"> (Hatakeyama, 2017)</w:t>
      </w:r>
      <w:r w:rsidR="00150586" w:rsidRPr="00537EE8">
        <w:rPr>
          <w:rFonts w:ascii="Times New Roman" w:hAnsi="Times New Roman" w:cs="Times New Roman"/>
          <w:sz w:val="24"/>
          <w:szCs w:val="24"/>
        </w:rPr>
        <w:t xml:space="preserve">. </w:t>
      </w:r>
      <w:r w:rsidR="004E1890" w:rsidRPr="00537EE8">
        <w:rPr>
          <w:rFonts w:ascii="Times New Roman" w:hAnsi="Times New Roman" w:cs="Times New Roman"/>
          <w:sz w:val="24"/>
          <w:szCs w:val="24"/>
        </w:rPr>
        <w:t xml:space="preserve"> </w:t>
      </w:r>
      <w:r w:rsidR="00D175B0" w:rsidRPr="00537EE8">
        <w:rPr>
          <w:rFonts w:ascii="Times New Roman" w:hAnsi="Times New Roman" w:cs="Times New Roman"/>
          <w:sz w:val="24"/>
          <w:szCs w:val="24"/>
        </w:rPr>
        <w:t xml:space="preserve">One of the ways in which </w:t>
      </w:r>
      <w:r w:rsidR="00D175B0" w:rsidRPr="00537EE8">
        <w:rPr>
          <w:rFonts w:ascii="Times New Roman" w:hAnsi="Times New Roman" w:cs="Times New Roman"/>
          <w:i/>
          <w:sz w:val="24"/>
          <w:szCs w:val="24"/>
        </w:rPr>
        <w:t>H.pylori</w:t>
      </w:r>
      <w:r w:rsidR="00D175B0" w:rsidRPr="00537EE8">
        <w:rPr>
          <w:rFonts w:ascii="Times New Roman" w:hAnsi="Times New Roman" w:cs="Times New Roman"/>
          <w:sz w:val="24"/>
          <w:szCs w:val="24"/>
        </w:rPr>
        <w:t xml:space="preserve"> can cause site-specific diseases is by using its spiral shape to penetrate the stomach lining. Once the </w:t>
      </w:r>
      <w:r w:rsidR="00D175B0" w:rsidRPr="00537EE8">
        <w:rPr>
          <w:rFonts w:ascii="Times New Roman" w:hAnsi="Times New Roman" w:cs="Times New Roman"/>
          <w:i/>
          <w:sz w:val="24"/>
          <w:szCs w:val="24"/>
        </w:rPr>
        <w:t xml:space="preserve">H.pylori </w:t>
      </w:r>
      <w:r w:rsidR="00D55E33" w:rsidRPr="00537EE8">
        <w:rPr>
          <w:rFonts w:ascii="Times New Roman" w:hAnsi="Times New Roman" w:cs="Times New Roman"/>
          <w:sz w:val="24"/>
          <w:szCs w:val="24"/>
        </w:rPr>
        <w:t xml:space="preserve">penetrates </w:t>
      </w:r>
      <w:r w:rsidR="00D175B0" w:rsidRPr="00537EE8">
        <w:rPr>
          <w:rFonts w:ascii="Times New Roman" w:hAnsi="Times New Roman" w:cs="Times New Roman"/>
          <w:sz w:val="24"/>
          <w:szCs w:val="24"/>
        </w:rPr>
        <w:t xml:space="preserve">the stomach lining </w:t>
      </w:r>
      <w:r w:rsidR="00D55E33" w:rsidRPr="00537EE8">
        <w:rPr>
          <w:rFonts w:ascii="Times New Roman" w:hAnsi="Times New Roman" w:cs="Times New Roman"/>
          <w:sz w:val="24"/>
          <w:szCs w:val="24"/>
        </w:rPr>
        <w:t>the bacteria is</w:t>
      </w:r>
      <w:r w:rsidR="00D175B0" w:rsidRPr="00537EE8">
        <w:rPr>
          <w:rFonts w:ascii="Times New Roman" w:hAnsi="Times New Roman" w:cs="Times New Roman"/>
          <w:sz w:val="24"/>
          <w:szCs w:val="24"/>
        </w:rPr>
        <w:t xml:space="preserve"> protected by mucus </w:t>
      </w:r>
      <w:r w:rsidR="00150586" w:rsidRPr="00537EE8">
        <w:rPr>
          <w:rFonts w:ascii="Times New Roman" w:hAnsi="Times New Roman" w:cs="Times New Roman"/>
          <w:sz w:val="24"/>
          <w:szCs w:val="24"/>
        </w:rPr>
        <w:t>and the body’s immune cells are unable to reach the bacteria preventing it from being destroyed</w:t>
      </w:r>
      <w:r w:rsidR="00390B9D" w:rsidRPr="00537EE8">
        <w:rPr>
          <w:rFonts w:ascii="Times New Roman" w:hAnsi="Times New Roman" w:cs="Times New Roman"/>
          <w:sz w:val="24"/>
          <w:szCs w:val="24"/>
        </w:rPr>
        <w:t xml:space="preserve"> (</w:t>
      </w:r>
      <w:r w:rsidR="00390B9D" w:rsidRPr="00537EE8">
        <w:rPr>
          <w:rFonts w:ascii="Times New Roman" w:hAnsi="Times New Roman" w:cs="Times New Roman"/>
          <w:i/>
          <w:sz w:val="24"/>
          <w:szCs w:val="24"/>
        </w:rPr>
        <w:t>H. pylori</w:t>
      </w:r>
      <w:r w:rsidR="00390B9D" w:rsidRPr="00537EE8">
        <w:rPr>
          <w:rFonts w:ascii="Times New Roman" w:hAnsi="Times New Roman" w:cs="Times New Roman"/>
          <w:sz w:val="24"/>
          <w:szCs w:val="24"/>
        </w:rPr>
        <w:t xml:space="preserve"> infection, 2017)</w:t>
      </w:r>
      <w:r w:rsidR="00150586" w:rsidRPr="00537EE8">
        <w:rPr>
          <w:rFonts w:ascii="Times New Roman" w:hAnsi="Times New Roman" w:cs="Times New Roman"/>
          <w:sz w:val="24"/>
          <w:szCs w:val="24"/>
        </w:rPr>
        <w:t xml:space="preserve">. </w:t>
      </w:r>
      <w:r w:rsidR="00C04DFA" w:rsidRPr="00537EE8">
        <w:rPr>
          <w:rFonts w:ascii="Times New Roman" w:hAnsi="Times New Roman" w:cs="Times New Roman"/>
          <w:sz w:val="24"/>
          <w:szCs w:val="24"/>
        </w:rPr>
        <w:t>Moss</w:t>
      </w:r>
      <w:r w:rsidR="00390B9D" w:rsidRPr="00537EE8">
        <w:rPr>
          <w:rFonts w:ascii="Times New Roman" w:hAnsi="Times New Roman" w:cs="Times New Roman"/>
          <w:sz w:val="24"/>
          <w:szCs w:val="24"/>
        </w:rPr>
        <w:t xml:space="preserve"> (1998)</w:t>
      </w:r>
      <w:r w:rsidR="00C04DFA" w:rsidRPr="00537EE8">
        <w:rPr>
          <w:rFonts w:ascii="Times New Roman" w:hAnsi="Times New Roman" w:cs="Times New Roman"/>
          <w:sz w:val="24"/>
          <w:szCs w:val="24"/>
        </w:rPr>
        <w:t xml:space="preserve"> performed a study in which he examined the effects of </w:t>
      </w:r>
      <w:r w:rsidR="00390B9D" w:rsidRPr="00537EE8">
        <w:rPr>
          <w:rFonts w:ascii="Times New Roman" w:hAnsi="Times New Roman" w:cs="Times New Roman"/>
          <w:i/>
          <w:sz w:val="24"/>
          <w:szCs w:val="24"/>
        </w:rPr>
        <w:t>H. pylori</w:t>
      </w:r>
      <w:r w:rsidR="00C04DFA" w:rsidRPr="00537EE8">
        <w:rPr>
          <w:rFonts w:ascii="Times New Roman" w:hAnsi="Times New Roman" w:cs="Times New Roman"/>
          <w:sz w:val="24"/>
          <w:szCs w:val="24"/>
        </w:rPr>
        <w:t xml:space="preserve"> on apoptosis of epithelial cells by staining apoptotic cells through the use of in-situ terminal deoxyuridine nucleotide nick end-labeling</w:t>
      </w:r>
      <w:r w:rsidR="00F62F34" w:rsidRPr="00537EE8">
        <w:rPr>
          <w:rFonts w:ascii="Times New Roman" w:hAnsi="Times New Roman" w:cs="Times New Roman"/>
          <w:sz w:val="24"/>
          <w:szCs w:val="24"/>
        </w:rPr>
        <w:t>. From Moss’s</w:t>
      </w:r>
      <w:r w:rsidR="00390B9D" w:rsidRPr="00537EE8">
        <w:rPr>
          <w:rFonts w:ascii="Times New Roman" w:hAnsi="Times New Roman" w:cs="Times New Roman"/>
          <w:sz w:val="24"/>
          <w:szCs w:val="24"/>
        </w:rPr>
        <w:t xml:space="preserve"> (1998)</w:t>
      </w:r>
      <w:r w:rsidR="00C04DFA" w:rsidRPr="00537EE8">
        <w:rPr>
          <w:rFonts w:ascii="Times New Roman" w:hAnsi="Times New Roman" w:cs="Times New Roman"/>
          <w:sz w:val="24"/>
          <w:szCs w:val="24"/>
        </w:rPr>
        <w:t xml:space="preserve"> results he concluded </w:t>
      </w:r>
      <w:r w:rsidR="00161AFA" w:rsidRPr="00537EE8">
        <w:rPr>
          <w:rFonts w:ascii="Times New Roman" w:hAnsi="Times New Roman" w:cs="Times New Roman"/>
          <w:sz w:val="24"/>
          <w:szCs w:val="24"/>
        </w:rPr>
        <w:t xml:space="preserve">that </w:t>
      </w:r>
      <w:r w:rsidR="00390B9D" w:rsidRPr="00537EE8">
        <w:rPr>
          <w:rFonts w:ascii="Times New Roman" w:hAnsi="Times New Roman" w:cs="Times New Roman"/>
          <w:i/>
          <w:sz w:val="24"/>
          <w:szCs w:val="24"/>
        </w:rPr>
        <w:t>H. pylori</w:t>
      </w:r>
      <w:r w:rsidR="00161AFA" w:rsidRPr="00537EE8">
        <w:rPr>
          <w:rFonts w:ascii="Times New Roman" w:hAnsi="Times New Roman" w:cs="Times New Roman"/>
          <w:i/>
          <w:sz w:val="24"/>
          <w:szCs w:val="24"/>
        </w:rPr>
        <w:t xml:space="preserve"> </w:t>
      </w:r>
      <w:r w:rsidR="00161AFA" w:rsidRPr="00537EE8">
        <w:rPr>
          <w:rFonts w:ascii="Times New Roman" w:hAnsi="Times New Roman" w:cs="Times New Roman"/>
          <w:sz w:val="24"/>
          <w:szCs w:val="24"/>
        </w:rPr>
        <w:t xml:space="preserve">induced both proliferation and apoptosis, while </w:t>
      </w:r>
      <w:r w:rsidR="00161AFA" w:rsidRPr="00537EE8">
        <w:rPr>
          <w:rFonts w:ascii="Times New Roman" w:hAnsi="Times New Roman" w:cs="Times New Roman"/>
          <w:i/>
          <w:sz w:val="24"/>
          <w:szCs w:val="24"/>
        </w:rPr>
        <w:t>H.pylori</w:t>
      </w:r>
      <w:r w:rsidR="00161AFA" w:rsidRPr="00537EE8">
        <w:rPr>
          <w:rFonts w:ascii="Times New Roman" w:hAnsi="Times New Roman" w:cs="Times New Roman"/>
          <w:sz w:val="24"/>
          <w:szCs w:val="24"/>
        </w:rPr>
        <w:t xml:space="preserve"> that was a CagA-positive strain induced proliferation more than apoptosis.</w:t>
      </w:r>
    </w:p>
    <w:p w:rsidR="00FF5942" w:rsidRPr="00537EE8" w:rsidRDefault="00FF5942" w:rsidP="00C64AE1">
      <w:pPr>
        <w:spacing w:line="240" w:lineRule="auto"/>
        <w:rPr>
          <w:rFonts w:ascii="Times New Roman" w:hAnsi="Times New Roman" w:cs="Times New Roman"/>
          <w:sz w:val="24"/>
          <w:szCs w:val="24"/>
        </w:rPr>
      </w:pPr>
      <w:r w:rsidRPr="00537EE8">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posOffset>3750310</wp:posOffset>
            </wp:positionH>
            <wp:positionV relativeFrom="paragraph">
              <wp:posOffset>3124200</wp:posOffset>
            </wp:positionV>
            <wp:extent cx="1828800" cy="28079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166" t="12099" r="60416" b="18518"/>
                    <a:stretch/>
                  </pic:blipFill>
                  <pic:spPr bwMode="auto">
                    <a:xfrm>
                      <a:off x="0" y="0"/>
                      <a:ext cx="1828800" cy="280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EE8">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simplePos x="0" y="0"/>
                <wp:positionH relativeFrom="column">
                  <wp:posOffset>2653030</wp:posOffset>
                </wp:positionH>
                <wp:positionV relativeFrom="paragraph">
                  <wp:posOffset>1077595</wp:posOffset>
                </wp:positionV>
                <wp:extent cx="3669665" cy="241300"/>
                <wp:effectExtent l="0" t="0" r="26035"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241300"/>
                        </a:xfrm>
                        <a:prstGeom prst="rect">
                          <a:avLst/>
                        </a:prstGeom>
                        <a:solidFill>
                          <a:srgbClr val="FFFFFF"/>
                        </a:solidFill>
                        <a:ln w="9525">
                          <a:solidFill>
                            <a:srgbClr val="000000"/>
                          </a:solidFill>
                          <a:miter lim="800000"/>
                          <a:headEnd/>
                          <a:tailEnd/>
                        </a:ln>
                      </wps:spPr>
                      <wps:txb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sz w:val="16"/>
                                <w:szCs w:val="16"/>
                              </w:rPr>
                              <w:t xml:space="preserve">Figure 2: Schematic representation of CagA and EPIYA motifs. From </w:t>
                            </w:r>
                            <w:r w:rsidRPr="00FF5942">
                              <w:rPr>
                                <w:rFonts w:ascii="Times New Roman" w:hAnsi="Times New Roman" w:cs="Times New Roman"/>
                                <w:bCs/>
                                <w:sz w:val="16"/>
                                <w:szCs w:val="16"/>
                                <w:lang w:val="en-GB"/>
                              </w:rPr>
                              <w:t>Duncan et 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8.9pt;margin-top:84.85pt;width:288.95pt;height: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vWJgIAAEs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">
                <v:textbo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sz w:val="16"/>
                          <w:szCs w:val="16"/>
                        </w:rPr>
                        <w:t xml:space="preserve">Figure 2: Schematic representation of CagA and EPIYA motifs. From </w:t>
                      </w:r>
                      <w:r w:rsidRPr="00FF5942">
                        <w:rPr>
                          <w:rFonts w:ascii="Times New Roman" w:hAnsi="Times New Roman" w:cs="Times New Roman"/>
                          <w:bCs/>
                          <w:sz w:val="16"/>
                          <w:szCs w:val="16"/>
                          <w:lang w:val="en-GB"/>
                        </w:rPr>
                        <w:t>Duncan et al.</w:t>
                      </w:r>
                    </w:p>
                  </w:txbxContent>
                </v:textbox>
                <w10:wrap type="square"/>
              </v:shape>
            </w:pict>
          </mc:Fallback>
        </mc:AlternateContent>
      </w:r>
      <w:r w:rsidR="00D55A88" w:rsidRPr="00537EE8">
        <w:rPr>
          <w:rFonts w:ascii="Times New Roman" w:hAnsi="Times New Roman" w:cs="Times New Roman"/>
          <w:sz w:val="24"/>
          <w:szCs w:val="24"/>
        </w:rPr>
        <w:t xml:space="preserve">One identified virulence factor of </w:t>
      </w:r>
      <w:r w:rsidR="00D55A88" w:rsidRPr="00537EE8">
        <w:rPr>
          <w:rFonts w:ascii="Times New Roman" w:hAnsi="Times New Roman" w:cs="Times New Roman"/>
          <w:i/>
          <w:sz w:val="24"/>
          <w:szCs w:val="24"/>
        </w:rPr>
        <w:t>H.pylori</w:t>
      </w:r>
      <w:r w:rsidR="00D55A88" w:rsidRPr="00537EE8">
        <w:rPr>
          <w:rFonts w:ascii="Times New Roman" w:hAnsi="Times New Roman" w:cs="Times New Roman"/>
          <w:sz w:val="24"/>
          <w:szCs w:val="24"/>
        </w:rPr>
        <w:t xml:space="preserve"> is CagA</w:t>
      </w:r>
      <w:r w:rsidR="00D36996" w:rsidRPr="00537EE8">
        <w:rPr>
          <w:rFonts w:ascii="Times New Roman" w:hAnsi="Times New Roman" w:cs="Times New Roman"/>
          <w:sz w:val="24"/>
          <w:szCs w:val="24"/>
        </w:rPr>
        <w:t xml:space="preserve"> or cytotoxin-</w:t>
      </w:r>
      <w:r w:rsidR="00161AFA" w:rsidRPr="00537EE8">
        <w:rPr>
          <w:rFonts w:ascii="Times New Roman" w:hAnsi="Times New Roman" w:cs="Times New Roman"/>
          <w:sz w:val="24"/>
          <w:szCs w:val="24"/>
        </w:rPr>
        <w:t>associated gene</w:t>
      </w:r>
      <w:r w:rsidR="00D36996" w:rsidRPr="00537EE8">
        <w:rPr>
          <w:rFonts w:ascii="Times New Roman" w:hAnsi="Times New Roman" w:cs="Times New Roman"/>
          <w:sz w:val="24"/>
          <w:szCs w:val="24"/>
        </w:rPr>
        <w:t xml:space="preserve"> </w:t>
      </w:r>
      <w:r w:rsidR="003B126D" w:rsidRPr="00537EE8">
        <w:rPr>
          <w:rFonts w:ascii="Times New Roman" w:hAnsi="Times New Roman" w:cs="Times New Roman"/>
          <w:sz w:val="24"/>
          <w:szCs w:val="24"/>
        </w:rPr>
        <w:t xml:space="preserve">a </w:t>
      </w:r>
      <w:r w:rsidR="00D36996" w:rsidRPr="00537EE8">
        <w:rPr>
          <w:rFonts w:ascii="Times New Roman" w:hAnsi="Times New Roman" w:cs="Times New Roman"/>
          <w:sz w:val="24"/>
          <w:szCs w:val="24"/>
        </w:rPr>
        <w:t xml:space="preserve">protein encoded on the cag pathogenicity island, which is made up of a cluster of </w:t>
      </w:r>
      <w:r w:rsidR="00EB44B8" w:rsidRPr="00537EE8">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2052376</wp:posOffset>
                </wp:positionH>
                <wp:positionV relativeFrom="paragraph">
                  <wp:posOffset>-40193</wp:posOffset>
                </wp:positionV>
                <wp:extent cx="170822" cy="200967"/>
                <wp:effectExtent l="0" t="0" r="19685" b="27940"/>
                <wp:wrapNone/>
                <wp:docPr id="3" name="Rectangle 3"/>
                <wp:cNvGraphicFramePr/>
                <a:graphic xmlns:a="http://schemas.openxmlformats.org/drawingml/2006/main">
                  <a:graphicData uri="http://schemas.microsoft.com/office/word/2010/wordprocessingShape">
                    <wps:wsp>
                      <wps:cNvSpPr/>
                      <wps:spPr>
                        <a:xfrm>
                          <a:off x="0" y="0"/>
                          <a:ext cx="170822" cy="2009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EC1B5" id="Rectangle 3" o:spid="_x0000_s1026" style="position:absolute;margin-left:161.6pt;margin-top:-3.15pt;width:13.45pt;height:15.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" fillcolor="white [3212]" strokecolor="white [3212]" strokeweight="1pt"/>
            </w:pict>
          </mc:Fallback>
        </mc:AlternateContent>
      </w:r>
      <w:r w:rsidR="00EB44B8" w:rsidRPr="00537EE8">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2021624</wp:posOffset>
            </wp:positionH>
            <wp:positionV relativeFrom="paragraph">
              <wp:posOffset>412</wp:posOffset>
            </wp:positionV>
            <wp:extent cx="4303063" cy="1115060"/>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17" t="58283" r="68491" b="28039"/>
                    <a:stretch/>
                  </pic:blipFill>
                  <pic:spPr bwMode="auto">
                    <a:xfrm>
                      <a:off x="0" y="0"/>
                      <a:ext cx="4303063" cy="111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996" w:rsidRPr="00537EE8">
        <w:rPr>
          <w:rFonts w:ascii="Times New Roman" w:hAnsi="Times New Roman" w:cs="Times New Roman"/>
          <w:sz w:val="24"/>
          <w:szCs w:val="24"/>
        </w:rPr>
        <w:t>virulence genes</w:t>
      </w:r>
      <w:r w:rsidR="006A7884" w:rsidRPr="00537EE8">
        <w:rPr>
          <w:rFonts w:ascii="Times New Roman" w:hAnsi="Times New Roman" w:cs="Times New Roman"/>
          <w:sz w:val="24"/>
          <w:szCs w:val="24"/>
        </w:rPr>
        <w:t xml:space="preserve"> (Jones, et al., 2010)</w:t>
      </w:r>
      <w:r w:rsidR="00D36996" w:rsidRPr="00537EE8">
        <w:rPr>
          <w:rFonts w:ascii="Times New Roman" w:hAnsi="Times New Roman" w:cs="Times New Roman"/>
          <w:sz w:val="24"/>
          <w:szCs w:val="24"/>
        </w:rPr>
        <w:t>.</w:t>
      </w:r>
      <w:r w:rsidR="003B126D" w:rsidRPr="00537EE8">
        <w:rPr>
          <w:rFonts w:ascii="Times New Roman" w:hAnsi="Times New Roman" w:cs="Times New Roman"/>
          <w:sz w:val="24"/>
          <w:szCs w:val="24"/>
        </w:rPr>
        <w:t xml:space="preserve"> B</w:t>
      </w:r>
      <w:r w:rsidR="00C3284A" w:rsidRPr="00537EE8">
        <w:rPr>
          <w:rFonts w:ascii="Times New Roman" w:hAnsi="Times New Roman" w:cs="Times New Roman"/>
          <w:sz w:val="24"/>
          <w:szCs w:val="24"/>
        </w:rPr>
        <w:t xml:space="preserve">ecause CagA is present in only 70% of </w:t>
      </w:r>
      <w:r w:rsidR="00390B9D" w:rsidRPr="00537EE8">
        <w:rPr>
          <w:rFonts w:ascii="Times New Roman" w:hAnsi="Times New Roman" w:cs="Times New Roman"/>
          <w:i/>
          <w:sz w:val="24"/>
          <w:szCs w:val="24"/>
        </w:rPr>
        <w:t>H. pylori</w:t>
      </w:r>
      <w:r w:rsidR="00C3284A" w:rsidRPr="00537EE8">
        <w:rPr>
          <w:rFonts w:ascii="Times New Roman" w:hAnsi="Times New Roman" w:cs="Times New Roman"/>
          <w:i/>
          <w:sz w:val="24"/>
          <w:szCs w:val="24"/>
        </w:rPr>
        <w:t xml:space="preserve"> </w:t>
      </w:r>
      <w:r w:rsidR="00C3284A" w:rsidRPr="00537EE8">
        <w:rPr>
          <w:rFonts w:ascii="Times New Roman" w:hAnsi="Times New Roman" w:cs="Times New Roman"/>
          <w:sz w:val="24"/>
          <w:szCs w:val="24"/>
        </w:rPr>
        <w:t xml:space="preserve">strains, </w:t>
      </w:r>
      <w:r w:rsidR="00390B9D" w:rsidRPr="00537EE8">
        <w:rPr>
          <w:rFonts w:ascii="Times New Roman" w:hAnsi="Times New Roman" w:cs="Times New Roman"/>
          <w:i/>
          <w:sz w:val="24"/>
          <w:szCs w:val="24"/>
        </w:rPr>
        <w:t>H. pylori</w:t>
      </w:r>
      <w:r w:rsidR="00EB44B8" w:rsidRPr="00537EE8">
        <w:rPr>
          <w:rFonts w:ascii="Times New Roman" w:hAnsi="Times New Roman" w:cs="Times New Roman"/>
          <w:sz w:val="24"/>
          <w:szCs w:val="24"/>
        </w:rPr>
        <w:t xml:space="preserve"> </w:t>
      </w:r>
      <w:r w:rsidR="00C3284A" w:rsidRPr="00537EE8">
        <w:rPr>
          <w:rFonts w:ascii="Times New Roman" w:hAnsi="Times New Roman" w:cs="Times New Roman"/>
          <w:sz w:val="24"/>
          <w:szCs w:val="24"/>
        </w:rPr>
        <w:t>can be sorted into</w:t>
      </w:r>
      <w:r w:rsidR="00EB44B8" w:rsidRPr="00537EE8">
        <w:rPr>
          <w:rFonts w:ascii="Times New Roman" w:hAnsi="Times New Roman" w:cs="Times New Roman"/>
          <w:sz w:val="24"/>
          <w:szCs w:val="24"/>
        </w:rPr>
        <w:t xml:space="preserve"> into two different stains of the bacteria, CagA- positive or CagA-</w:t>
      </w:r>
      <w:r w:rsidR="00C3284A" w:rsidRPr="00537EE8">
        <w:rPr>
          <w:rFonts w:ascii="Times New Roman" w:hAnsi="Times New Roman" w:cs="Times New Roman"/>
          <w:sz w:val="24"/>
          <w:szCs w:val="24"/>
        </w:rPr>
        <w:t>negative</w:t>
      </w:r>
      <w:r w:rsidR="006A7884" w:rsidRPr="00537EE8">
        <w:rPr>
          <w:rFonts w:ascii="Times New Roman" w:hAnsi="Times New Roman" w:cs="Times New Roman"/>
          <w:sz w:val="24"/>
          <w:szCs w:val="24"/>
        </w:rPr>
        <w:t xml:space="preserve"> (</w:t>
      </w:r>
      <w:r w:rsidR="006A7884" w:rsidRPr="00537EE8">
        <w:rPr>
          <w:rFonts w:ascii="Times New Roman" w:hAnsi="Times New Roman" w:cs="Times New Roman"/>
          <w:sz w:val="24"/>
          <w:szCs w:val="24"/>
        </w:rPr>
        <w:t>Jones, et al</w:t>
      </w:r>
      <w:r w:rsidR="006A7884" w:rsidRPr="00537EE8">
        <w:rPr>
          <w:rFonts w:ascii="Times New Roman" w:hAnsi="Times New Roman" w:cs="Times New Roman"/>
          <w:sz w:val="24"/>
          <w:szCs w:val="24"/>
        </w:rPr>
        <w:t>., 2010</w:t>
      </w:r>
      <w:r w:rsidR="006A7884" w:rsidRPr="00537EE8">
        <w:rPr>
          <w:rFonts w:ascii="Times New Roman" w:hAnsi="Times New Roman" w:cs="Times New Roman"/>
          <w:sz w:val="24"/>
          <w:szCs w:val="24"/>
        </w:rPr>
        <w:t>)</w:t>
      </w:r>
      <w:r w:rsidR="00C3284A" w:rsidRPr="00537EE8">
        <w:rPr>
          <w:rFonts w:ascii="Times New Roman" w:hAnsi="Times New Roman" w:cs="Times New Roman"/>
          <w:sz w:val="24"/>
          <w:szCs w:val="24"/>
        </w:rPr>
        <w:t xml:space="preserve">. </w:t>
      </w:r>
      <w:r w:rsidR="00C15A74" w:rsidRPr="00537EE8">
        <w:rPr>
          <w:rFonts w:ascii="Times New Roman" w:hAnsi="Times New Roman" w:cs="Times New Roman"/>
          <w:sz w:val="24"/>
          <w:szCs w:val="24"/>
        </w:rPr>
        <w:t xml:space="preserve">When </w:t>
      </w:r>
      <w:r w:rsidR="00390B9D" w:rsidRPr="00537EE8">
        <w:rPr>
          <w:rFonts w:ascii="Times New Roman" w:hAnsi="Times New Roman" w:cs="Times New Roman"/>
          <w:i/>
          <w:sz w:val="24"/>
          <w:szCs w:val="24"/>
        </w:rPr>
        <w:t>H. pylori</w:t>
      </w:r>
      <w:r w:rsidR="00EB44B8" w:rsidRPr="00537EE8">
        <w:rPr>
          <w:rFonts w:ascii="Times New Roman" w:hAnsi="Times New Roman" w:cs="Times New Roman"/>
          <w:i/>
          <w:sz w:val="24"/>
          <w:szCs w:val="24"/>
        </w:rPr>
        <w:t xml:space="preserve"> </w:t>
      </w:r>
      <w:r w:rsidR="00EB44B8" w:rsidRPr="00537EE8">
        <w:rPr>
          <w:rFonts w:ascii="Times New Roman" w:hAnsi="Times New Roman" w:cs="Times New Roman"/>
          <w:sz w:val="24"/>
          <w:szCs w:val="24"/>
        </w:rPr>
        <w:t>CagA positive bacteria</w:t>
      </w:r>
      <w:r w:rsidR="00C15A74" w:rsidRPr="00537EE8">
        <w:rPr>
          <w:rFonts w:ascii="Times New Roman" w:hAnsi="Times New Roman" w:cs="Times New Roman"/>
          <w:i/>
          <w:sz w:val="24"/>
          <w:szCs w:val="24"/>
        </w:rPr>
        <w:t xml:space="preserve"> </w:t>
      </w:r>
      <w:r w:rsidR="00C15A74" w:rsidRPr="00537EE8">
        <w:rPr>
          <w:rFonts w:ascii="Times New Roman" w:hAnsi="Times New Roman" w:cs="Times New Roman"/>
          <w:sz w:val="24"/>
          <w:szCs w:val="24"/>
        </w:rPr>
        <w:t>comes in</w:t>
      </w:r>
      <w:r w:rsidR="00C15A74" w:rsidRPr="00537EE8">
        <w:rPr>
          <w:rFonts w:ascii="Times New Roman" w:hAnsi="Times New Roman" w:cs="Times New Roman"/>
          <w:i/>
          <w:sz w:val="24"/>
          <w:szCs w:val="24"/>
        </w:rPr>
        <w:t xml:space="preserve"> </w:t>
      </w:r>
      <w:r w:rsidR="00C15A74" w:rsidRPr="00537EE8">
        <w:rPr>
          <w:rFonts w:ascii="Times New Roman" w:hAnsi="Times New Roman" w:cs="Times New Roman"/>
          <w:sz w:val="24"/>
          <w:szCs w:val="24"/>
        </w:rPr>
        <w:t xml:space="preserve">contact with </w:t>
      </w:r>
      <w:r w:rsidR="003B126D" w:rsidRPr="00537EE8">
        <w:rPr>
          <w:rFonts w:ascii="Times New Roman" w:hAnsi="Times New Roman" w:cs="Times New Roman"/>
          <w:sz w:val="24"/>
          <w:szCs w:val="24"/>
        </w:rPr>
        <w:t xml:space="preserve">gastric </w:t>
      </w:r>
      <w:r w:rsidR="00C15A74" w:rsidRPr="00537EE8">
        <w:rPr>
          <w:rFonts w:ascii="Times New Roman" w:hAnsi="Times New Roman" w:cs="Times New Roman"/>
          <w:sz w:val="24"/>
          <w:szCs w:val="24"/>
        </w:rPr>
        <w:t>host cells, CagA is injected into the cytoplasm of the host cell</w:t>
      </w:r>
      <w:r w:rsidR="00EB44B8" w:rsidRPr="00537EE8">
        <w:rPr>
          <w:rFonts w:ascii="Times New Roman" w:hAnsi="Times New Roman" w:cs="Times New Roman"/>
          <w:sz w:val="24"/>
          <w:szCs w:val="24"/>
        </w:rPr>
        <w:t>, where</w:t>
      </w:r>
      <w:r w:rsidR="00C15A74" w:rsidRPr="00537EE8">
        <w:rPr>
          <w:rFonts w:ascii="Times New Roman" w:hAnsi="Times New Roman" w:cs="Times New Roman"/>
          <w:sz w:val="24"/>
          <w:szCs w:val="24"/>
        </w:rPr>
        <w:t xml:space="preserve"> CagA </w:t>
      </w:r>
      <w:r w:rsidR="00EB44B8" w:rsidRPr="00537EE8">
        <w:rPr>
          <w:rFonts w:ascii="Times New Roman" w:hAnsi="Times New Roman" w:cs="Times New Roman"/>
          <w:sz w:val="24"/>
          <w:szCs w:val="24"/>
        </w:rPr>
        <w:t>undergoes tyrosine phosphorylation at the Glu-Pro-Ile-Tyr-Ala (EPIYA) motifs</w:t>
      </w:r>
      <w:r w:rsidR="006A7884" w:rsidRPr="00537EE8">
        <w:rPr>
          <w:rFonts w:ascii="Times New Roman" w:hAnsi="Times New Roman" w:cs="Times New Roman"/>
          <w:sz w:val="24"/>
          <w:szCs w:val="24"/>
        </w:rPr>
        <w:t xml:space="preserve"> </w:t>
      </w:r>
      <w:r w:rsidR="006A7884" w:rsidRPr="00537EE8">
        <w:rPr>
          <w:rFonts w:ascii="Times New Roman" w:hAnsi="Times New Roman" w:cs="Times New Roman"/>
          <w:sz w:val="24"/>
          <w:szCs w:val="24"/>
        </w:rPr>
        <w:t>(Jones, et al.)</w:t>
      </w:r>
      <w:r w:rsidR="00904B91" w:rsidRPr="00537EE8">
        <w:rPr>
          <w:rFonts w:ascii="Times New Roman" w:hAnsi="Times New Roman" w:cs="Times New Roman"/>
          <w:sz w:val="24"/>
          <w:szCs w:val="24"/>
        </w:rPr>
        <w:t xml:space="preserve">. </w:t>
      </w:r>
      <w:r w:rsidR="00C3284A" w:rsidRPr="00537EE8">
        <w:rPr>
          <w:rFonts w:ascii="Times New Roman" w:hAnsi="Times New Roman" w:cs="Times New Roman"/>
          <w:sz w:val="24"/>
          <w:szCs w:val="24"/>
        </w:rPr>
        <w:t xml:space="preserve">The EPIYA motifs exist in four different forms, EPIYA-A, -B, -C, and –D and which EPIYA sites exists as well as how many sites exist vary </w:t>
      </w:r>
      <w:r w:rsidR="006A7884" w:rsidRPr="00537EE8">
        <w:rPr>
          <w:rFonts w:ascii="Times New Roman" w:hAnsi="Times New Roman" w:cs="Times New Roman"/>
          <w:sz w:val="24"/>
          <w:szCs w:val="24"/>
        </w:rPr>
        <w:t>depending on the strain origin, Western or East Asian (</w:t>
      </w:r>
      <w:r w:rsidR="006A7884" w:rsidRPr="00537EE8">
        <w:rPr>
          <w:rFonts w:ascii="Times New Roman" w:hAnsi="Times New Roman" w:cs="Times New Roman"/>
          <w:sz w:val="24"/>
          <w:szCs w:val="24"/>
        </w:rPr>
        <w:t>Jones, et al.</w:t>
      </w:r>
      <w:r w:rsidR="006A7884" w:rsidRPr="00537EE8">
        <w:rPr>
          <w:rFonts w:ascii="Times New Roman" w:hAnsi="Times New Roman" w:cs="Times New Roman"/>
          <w:sz w:val="24"/>
          <w:szCs w:val="24"/>
        </w:rPr>
        <w:t>,2010</w:t>
      </w:r>
      <w:r w:rsidR="006A7884" w:rsidRPr="00537EE8">
        <w:rPr>
          <w:rFonts w:ascii="Times New Roman" w:hAnsi="Times New Roman" w:cs="Times New Roman"/>
          <w:sz w:val="24"/>
          <w:szCs w:val="24"/>
        </w:rPr>
        <w:t>).</w:t>
      </w:r>
      <w:r w:rsidR="00C3284A" w:rsidRPr="00537EE8">
        <w:rPr>
          <w:rFonts w:ascii="Times New Roman" w:hAnsi="Times New Roman" w:cs="Times New Roman"/>
          <w:sz w:val="24"/>
          <w:szCs w:val="24"/>
        </w:rPr>
        <w:t xml:space="preserve"> </w:t>
      </w:r>
      <w:r w:rsidR="00904B91" w:rsidRPr="00537EE8">
        <w:rPr>
          <w:rFonts w:ascii="Times New Roman" w:hAnsi="Times New Roman" w:cs="Times New Roman"/>
          <w:sz w:val="24"/>
          <w:szCs w:val="24"/>
        </w:rPr>
        <w:t>The phosphorylated CagA is then able to interact with a phosphatase, SHP-2, causing a morphological change in the cell known as the “hummingbird phenotype”, th</w:t>
      </w:r>
      <w:r w:rsidR="00C3284A" w:rsidRPr="00537EE8">
        <w:rPr>
          <w:rFonts w:ascii="Times New Roman" w:hAnsi="Times New Roman" w:cs="Times New Roman"/>
          <w:sz w:val="24"/>
          <w:szCs w:val="24"/>
        </w:rPr>
        <w:t>is phenotype</w:t>
      </w:r>
      <w:r w:rsidR="00904B91" w:rsidRPr="00537EE8">
        <w:rPr>
          <w:rFonts w:ascii="Times New Roman" w:hAnsi="Times New Roman" w:cs="Times New Roman"/>
          <w:sz w:val="24"/>
          <w:szCs w:val="24"/>
        </w:rPr>
        <w:t xml:space="preserve"> is similar to the effect produced by hepatocyte growth factor which participates in various aspects of cance</w:t>
      </w:r>
      <w:r w:rsidR="0027621F" w:rsidRPr="00537EE8">
        <w:rPr>
          <w:rFonts w:ascii="Times New Roman" w:hAnsi="Times New Roman" w:cs="Times New Roman"/>
          <w:sz w:val="24"/>
          <w:szCs w:val="24"/>
        </w:rPr>
        <w:t>r</w:t>
      </w:r>
      <w:r w:rsidR="00F62F34" w:rsidRPr="00537EE8">
        <w:rPr>
          <w:rFonts w:ascii="Times New Roman" w:hAnsi="Times New Roman" w:cs="Times New Roman"/>
          <w:sz w:val="24"/>
          <w:szCs w:val="24"/>
        </w:rPr>
        <w:t xml:space="preserve"> (Churin et al.</w:t>
      </w:r>
      <w:r w:rsidR="006A7884" w:rsidRPr="00537EE8">
        <w:rPr>
          <w:rFonts w:ascii="Times New Roman" w:hAnsi="Times New Roman" w:cs="Times New Roman"/>
          <w:sz w:val="24"/>
          <w:szCs w:val="24"/>
        </w:rPr>
        <w:t>, 2003)</w:t>
      </w:r>
      <w:r w:rsidR="0027621F" w:rsidRPr="00537EE8">
        <w:rPr>
          <w:rFonts w:ascii="Times New Roman" w:hAnsi="Times New Roman" w:cs="Times New Roman"/>
          <w:sz w:val="24"/>
          <w:szCs w:val="24"/>
        </w:rPr>
        <w:t xml:space="preserve">. </w:t>
      </w:r>
    </w:p>
    <w:p w:rsidR="00FF5942" w:rsidRPr="00537EE8" w:rsidRDefault="00FF5942" w:rsidP="00C64AE1">
      <w:pPr>
        <w:spacing w:line="240" w:lineRule="auto"/>
        <w:rPr>
          <w:rFonts w:ascii="Times New Roman" w:hAnsi="Times New Roman" w:cs="Times New Roman"/>
          <w:sz w:val="24"/>
          <w:szCs w:val="24"/>
        </w:rPr>
      </w:pPr>
    </w:p>
    <w:p w:rsidR="00E02AFB" w:rsidRPr="00537EE8" w:rsidRDefault="00FF5942" w:rsidP="00C64AE1">
      <w:pPr>
        <w:spacing w:line="240" w:lineRule="auto"/>
        <w:rPr>
          <w:rFonts w:ascii="Times New Roman" w:hAnsi="Times New Roman" w:cs="Times New Roman"/>
          <w:sz w:val="24"/>
          <w:szCs w:val="24"/>
        </w:rPr>
      </w:pPr>
      <w:r w:rsidRPr="00537EE8">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simplePos x="0" y="0"/>
                <wp:positionH relativeFrom="column">
                  <wp:posOffset>1566920</wp:posOffset>
                </wp:positionH>
                <wp:positionV relativeFrom="paragraph">
                  <wp:posOffset>2416871</wp:posOffset>
                </wp:positionV>
                <wp:extent cx="4709160" cy="1101090"/>
                <wp:effectExtent l="0" t="0" r="1524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101090"/>
                        </a:xfrm>
                        <a:prstGeom prst="rect">
                          <a:avLst/>
                        </a:prstGeom>
                        <a:solidFill>
                          <a:srgbClr val="FFFFFF"/>
                        </a:solidFill>
                        <a:ln w="9525">
                          <a:solidFill>
                            <a:srgbClr val="000000"/>
                          </a:solidFill>
                          <a:miter lim="800000"/>
                          <a:headEnd/>
                          <a:tailEnd/>
                        </a:ln>
                      </wps:spPr>
                      <wps:txb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color w:val="000000"/>
                                <w:sz w:val="16"/>
                                <w:szCs w:val="16"/>
                                <w:shd w:val="clear" w:color="auto" w:fill="FFFFFF"/>
                              </w:rPr>
                              <w:t>Figure 3: Gastrointestinal polyps and adenocarcinomas in </w:t>
                            </w:r>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mice. Histological analysis of H&amp;E staining and immunostaining. (</w:t>
                            </w:r>
                            <w:r w:rsidRPr="00FF5942">
                              <w:rPr>
                                <w:rStyle w:val="Emphasis"/>
                                <w:rFonts w:ascii="Times New Roman" w:hAnsi="Times New Roman" w:cs="Times New Roman"/>
                                <w:color w:val="000000"/>
                                <w:sz w:val="16"/>
                                <w:szCs w:val="16"/>
                                <w:shd w:val="clear" w:color="auto" w:fill="FFFFFF"/>
                              </w:rPr>
                              <w:t>A</w:t>
                            </w:r>
                            <w:r w:rsidRPr="00FF5942">
                              <w:rPr>
                                <w:rFonts w:ascii="Times New Roman" w:hAnsi="Times New Roman" w:cs="Times New Roman"/>
                                <w:color w:val="000000"/>
                                <w:sz w:val="16"/>
                                <w:szCs w:val="16"/>
                                <w:shd w:val="clear" w:color="auto" w:fill="FFFFFF"/>
                              </w:rPr>
                              <w:t>) Hyperplastic polyps developed in the stomachs of 72-week-old </w:t>
                            </w:r>
                            <w:r w:rsidRPr="00FF5942">
                              <w:rPr>
                                <w:rStyle w:val="Emphasis"/>
                                <w:rFonts w:ascii="Times New Roman" w:hAnsi="Times New Roman" w:cs="Times New Roman"/>
                                <w:color w:val="000000"/>
                                <w:sz w:val="16"/>
                                <w:szCs w:val="16"/>
                                <w:shd w:val="clear" w:color="auto" w:fill="FFFFFF"/>
                              </w:rPr>
                              <w:t>CAG-cagA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(B-10) homozygous female mice (</w:t>
                            </w:r>
                            <w:r w:rsidRPr="00FF5942">
                              <w:rPr>
                                <w:rStyle w:val="Emphasis"/>
                                <w:rFonts w:ascii="Times New Roman" w:hAnsi="Times New Roman" w:cs="Times New Roman"/>
                                <w:color w:val="000000"/>
                                <w:sz w:val="16"/>
                                <w:szCs w:val="16"/>
                                <w:shd w:val="clear" w:color="auto" w:fill="FFFFFF"/>
                              </w:rPr>
                              <w:t>Upper</w:t>
                            </w:r>
                            <w:r w:rsidRPr="00FF5942">
                              <w:rPr>
                                <w:rFonts w:ascii="Times New Roman" w:hAnsi="Times New Roman" w:cs="Times New Roman"/>
                                <w:color w:val="000000"/>
                                <w:sz w:val="16"/>
                                <w:szCs w:val="16"/>
                                <w:shd w:val="clear" w:color="auto" w:fill="FFFFFF"/>
                              </w:rPr>
                              <w:t>) and </w:t>
                            </w:r>
                            <w:r w:rsidRPr="00FF5942">
                              <w:rPr>
                                <w:rStyle w:val="Emphasis"/>
                                <w:rFonts w:ascii="Times New Roman" w:hAnsi="Times New Roman" w:cs="Times New Roman"/>
                                <w:color w:val="000000"/>
                                <w:sz w:val="16"/>
                                <w:szCs w:val="16"/>
                                <w:shd w:val="clear" w:color="auto" w:fill="FFFFFF"/>
                              </w:rPr>
                              <w:t>HK-cagA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(A-21) heterozygous male (</w:t>
                            </w:r>
                            <w:r w:rsidRPr="00FF5942">
                              <w:rPr>
                                <w:rStyle w:val="Emphasis"/>
                                <w:rFonts w:ascii="Times New Roman" w:hAnsi="Times New Roman" w:cs="Times New Roman"/>
                                <w:color w:val="000000"/>
                                <w:sz w:val="16"/>
                                <w:szCs w:val="16"/>
                                <w:shd w:val="clear" w:color="auto" w:fill="FFFFFF"/>
                              </w:rPr>
                              <w:t>Lower</w:t>
                            </w:r>
                            <w:r w:rsidRPr="00FF5942">
                              <w:rPr>
                                <w:rFonts w:ascii="Times New Roman" w:hAnsi="Times New Roman" w:cs="Times New Roman"/>
                                <w:color w:val="000000"/>
                                <w:sz w:val="16"/>
                                <w:szCs w:val="16"/>
                                <w:shd w:val="clear" w:color="auto" w:fill="FFFFFF"/>
                              </w:rPr>
                              <w:t>) mice. Scale bars, 300 μm. (</w:t>
                            </w:r>
                            <w:r w:rsidRPr="00FF5942">
                              <w:rPr>
                                <w:rStyle w:val="Emphasis"/>
                                <w:rFonts w:ascii="Times New Roman" w:hAnsi="Times New Roman" w:cs="Times New Roman"/>
                                <w:color w:val="000000"/>
                                <w:sz w:val="16"/>
                                <w:szCs w:val="16"/>
                                <w:shd w:val="clear" w:color="auto" w:fill="FFFFFF"/>
                              </w:rPr>
                              <w:t>B</w:t>
                            </w:r>
                            <w:r w:rsidRPr="00FF5942">
                              <w:rPr>
                                <w:rFonts w:ascii="Times New Roman" w:hAnsi="Times New Roman" w:cs="Times New Roman"/>
                                <w:color w:val="000000"/>
                                <w:sz w:val="16"/>
                                <w:szCs w:val="16"/>
                                <w:shd w:val="clear" w:color="auto" w:fill="FFFFFF"/>
                              </w:rPr>
                              <w:t>) Adenocarcinoma developed in the stomach of a 72-week-old </w:t>
                            </w:r>
                            <w:r w:rsidRPr="00FF5942">
                              <w:rPr>
                                <w:rStyle w:val="Emphasis"/>
                                <w:rFonts w:ascii="Times New Roman" w:hAnsi="Times New Roman" w:cs="Times New Roman"/>
                                <w:color w:val="000000"/>
                                <w:sz w:val="16"/>
                                <w:szCs w:val="16"/>
                                <w:shd w:val="clear" w:color="auto" w:fill="FFFFFF"/>
                              </w:rPr>
                              <w:t>CAG-cagA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homozygous male mouse (B-10). Scale bars, 100 μm. (</w:t>
                            </w:r>
                            <w:r w:rsidRPr="00FF5942">
                              <w:rPr>
                                <w:rStyle w:val="Emphasis"/>
                                <w:rFonts w:ascii="Times New Roman" w:hAnsi="Times New Roman" w:cs="Times New Roman"/>
                                <w:color w:val="000000"/>
                                <w:sz w:val="16"/>
                                <w:szCs w:val="16"/>
                                <w:shd w:val="clear" w:color="auto" w:fill="FFFFFF"/>
                              </w:rPr>
                              <w:t>C</w:t>
                            </w:r>
                            <w:r w:rsidRPr="00FF5942">
                              <w:rPr>
                                <w:rFonts w:ascii="Times New Roman" w:hAnsi="Times New Roman" w:cs="Times New Roman"/>
                                <w:color w:val="000000"/>
                                <w:sz w:val="16"/>
                                <w:szCs w:val="16"/>
                                <w:shd w:val="clear" w:color="auto" w:fill="FFFFFF"/>
                              </w:rPr>
                              <w:t>) Adenocarcinoma developed in the small intestine of a 72-week-old </w:t>
                            </w:r>
                            <w:r w:rsidRPr="00FF5942">
                              <w:rPr>
                                <w:rStyle w:val="Emphasis"/>
                                <w:rFonts w:ascii="Times New Roman" w:hAnsi="Times New Roman" w:cs="Times New Roman"/>
                                <w:color w:val="000000"/>
                                <w:sz w:val="16"/>
                                <w:szCs w:val="16"/>
                                <w:shd w:val="clear" w:color="auto" w:fill="FFFFFF"/>
                              </w:rPr>
                              <w:t>CAG-cagA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heterozygous male mouse (B-10). In the p53-immunostaining panel, matched control is shown in </w:t>
                            </w:r>
                            <w:r w:rsidRPr="00FF5942">
                              <w:rPr>
                                <w:rStyle w:val="Emphasis"/>
                                <w:rFonts w:ascii="Times New Roman" w:hAnsi="Times New Roman" w:cs="Times New Roman"/>
                                <w:color w:val="000000"/>
                                <w:sz w:val="16"/>
                                <w:szCs w:val="16"/>
                                <w:shd w:val="clear" w:color="auto" w:fill="FFFFFF"/>
                              </w:rPr>
                              <w:t>Inset</w:t>
                            </w:r>
                            <w:r w:rsidRPr="00FF5942">
                              <w:rPr>
                                <w:rFonts w:ascii="Times New Roman" w:hAnsi="Times New Roman" w:cs="Times New Roman"/>
                                <w:color w:val="000000"/>
                                <w:sz w:val="16"/>
                                <w:szCs w:val="16"/>
                                <w:shd w:val="clear" w:color="auto" w:fill="FFFFFF"/>
                              </w:rPr>
                              <w:t>. (Scale bars, 100 μm.) (</w:t>
                            </w:r>
                            <w:r w:rsidRPr="00FF5942">
                              <w:rPr>
                                <w:rStyle w:val="Emphasis"/>
                                <w:rFonts w:ascii="Times New Roman" w:hAnsi="Times New Roman" w:cs="Times New Roman"/>
                                <w:color w:val="000000"/>
                                <w:sz w:val="16"/>
                                <w:szCs w:val="16"/>
                                <w:shd w:val="clear" w:color="auto" w:fill="FFFFFF"/>
                              </w:rPr>
                              <w:t>D</w:t>
                            </w:r>
                            <w:r w:rsidRPr="00FF5942">
                              <w:rPr>
                                <w:rFonts w:ascii="Times New Roman" w:hAnsi="Times New Roman" w:cs="Times New Roman"/>
                                <w:color w:val="000000"/>
                                <w:sz w:val="16"/>
                                <w:szCs w:val="16"/>
                                <w:shd w:val="clear" w:color="auto" w:fill="FFFFFF"/>
                              </w:rPr>
                              <w:t>) Ki-67 labeling indexes of gastric lesions in </w:t>
                            </w:r>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mice. Error bars indicate mean ± SD. From Ohnishi et 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3.4pt;margin-top:190.3pt;width:370.8pt;height:8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">
                <v:textbox>
                  <w:txbxContent>
                    <w:p w:rsidR="00432151" w:rsidRPr="00FF5942" w:rsidRDefault="00432151">
                      <w:pPr>
                        <w:rPr>
                          <w:rFonts w:ascii="Times New Roman" w:hAnsi="Times New Roman" w:cs="Times New Roman"/>
                          <w:sz w:val="16"/>
                          <w:szCs w:val="16"/>
                        </w:rPr>
                      </w:pPr>
                      <w:r w:rsidRPr="00FF5942">
                        <w:rPr>
                          <w:rFonts w:ascii="Times New Roman" w:hAnsi="Times New Roman" w:cs="Times New Roman"/>
                          <w:color w:val="000000"/>
                          <w:sz w:val="16"/>
                          <w:szCs w:val="16"/>
                          <w:shd w:val="clear" w:color="auto" w:fill="FFFFFF"/>
                        </w:rPr>
                        <w:t>Figure 3: Gastrointestinal polyps and adenocarcinomas in </w:t>
                      </w:r>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mice. Histological analysis of H&amp;E staining and immunostaining. (</w:t>
                      </w:r>
                      <w:r w:rsidRPr="00FF5942">
                        <w:rPr>
                          <w:rStyle w:val="Emphasis"/>
                          <w:rFonts w:ascii="Times New Roman" w:hAnsi="Times New Roman" w:cs="Times New Roman"/>
                          <w:color w:val="000000"/>
                          <w:sz w:val="16"/>
                          <w:szCs w:val="16"/>
                          <w:shd w:val="clear" w:color="auto" w:fill="FFFFFF"/>
                        </w:rPr>
                        <w:t>A</w:t>
                      </w:r>
                      <w:r w:rsidRPr="00FF5942">
                        <w:rPr>
                          <w:rFonts w:ascii="Times New Roman" w:hAnsi="Times New Roman" w:cs="Times New Roman"/>
                          <w:color w:val="000000"/>
                          <w:sz w:val="16"/>
                          <w:szCs w:val="16"/>
                          <w:shd w:val="clear" w:color="auto" w:fill="FFFFFF"/>
                        </w:rPr>
                        <w:t>) Hyperplastic polyps developed in the stomachs of 72-week-old </w:t>
                      </w:r>
                      <w:r w:rsidRPr="00FF5942">
                        <w:rPr>
                          <w:rStyle w:val="Emphasis"/>
                          <w:rFonts w:ascii="Times New Roman" w:hAnsi="Times New Roman" w:cs="Times New Roman"/>
                          <w:color w:val="000000"/>
                          <w:sz w:val="16"/>
                          <w:szCs w:val="16"/>
                          <w:shd w:val="clear" w:color="auto" w:fill="FFFFFF"/>
                        </w:rPr>
                        <w:t>CAG-cagA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(B-10) homozygous female mice (</w:t>
                      </w:r>
                      <w:r w:rsidRPr="00FF5942">
                        <w:rPr>
                          <w:rStyle w:val="Emphasis"/>
                          <w:rFonts w:ascii="Times New Roman" w:hAnsi="Times New Roman" w:cs="Times New Roman"/>
                          <w:color w:val="000000"/>
                          <w:sz w:val="16"/>
                          <w:szCs w:val="16"/>
                          <w:shd w:val="clear" w:color="auto" w:fill="FFFFFF"/>
                        </w:rPr>
                        <w:t>Upper</w:t>
                      </w:r>
                      <w:r w:rsidRPr="00FF5942">
                        <w:rPr>
                          <w:rFonts w:ascii="Times New Roman" w:hAnsi="Times New Roman" w:cs="Times New Roman"/>
                          <w:color w:val="000000"/>
                          <w:sz w:val="16"/>
                          <w:szCs w:val="16"/>
                          <w:shd w:val="clear" w:color="auto" w:fill="FFFFFF"/>
                        </w:rPr>
                        <w:t>) and </w:t>
                      </w:r>
                      <w:r w:rsidRPr="00FF5942">
                        <w:rPr>
                          <w:rStyle w:val="Emphasis"/>
                          <w:rFonts w:ascii="Times New Roman" w:hAnsi="Times New Roman" w:cs="Times New Roman"/>
                          <w:color w:val="000000"/>
                          <w:sz w:val="16"/>
                          <w:szCs w:val="16"/>
                          <w:shd w:val="clear" w:color="auto" w:fill="FFFFFF"/>
                        </w:rPr>
                        <w:t>HK-cagA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(A-21) heterozygous male (</w:t>
                      </w:r>
                      <w:r w:rsidRPr="00FF5942">
                        <w:rPr>
                          <w:rStyle w:val="Emphasis"/>
                          <w:rFonts w:ascii="Times New Roman" w:hAnsi="Times New Roman" w:cs="Times New Roman"/>
                          <w:color w:val="000000"/>
                          <w:sz w:val="16"/>
                          <w:szCs w:val="16"/>
                          <w:shd w:val="clear" w:color="auto" w:fill="FFFFFF"/>
                        </w:rPr>
                        <w:t>Lower</w:t>
                      </w:r>
                      <w:r w:rsidRPr="00FF5942">
                        <w:rPr>
                          <w:rFonts w:ascii="Times New Roman" w:hAnsi="Times New Roman" w:cs="Times New Roman"/>
                          <w:color w:val="000000"/>
                          <w:sz w:val="16"/>
                          <w:szCs w:val="16"/>
                          <w:shd w:val="clear" w:color="auto" w:fill="FFFFFF"/>
                        </w:rPr>
                        <w:t>) mice. Scale bars, 300 μm. (</w:t>
                      </w:r>
                      <w:r w:rsidRPr="00FF5942">
                        <w:rPr>
                          <w:rStyle w:val="Emphasis"/>
                          <w:rFonts w:ascii="Times New Roman" w:hAnsi="Times New Roman" w:cs="Times New Roman"/>
                          <w:color w:val="000000"/>
                          <w:sz w:val="16"/>
                          <w:szCs w:val="16"/>
                          <w:shd w:val="clear" w:color="auto" w:fill="FFFFFF"/>
                        </w:rPr>
                        <w:t>B</w:t>
                      </w:r>
                      <w:r w:rsidRPr="00FF5942">
                        <w:rPr>
                          <w:rFonts w:ascii="Times New Roman" w:hAnsi="Times New Roman" w:cs="Times New Roman"/>
                          <w:color w:val="000000"/>
                          <w:sz w:val="16"/>
                          <w:szCs w:val="16"/>
                          <w:shd w:val="clear" w:color="auto" w:fill="FFFFFF"/>
                        </w:rPr>
                        <w:t>) Adenocarcinoma developed in the stomach of a 72-week-old </w:t>
                      </w:r>
                      <w:r w:rsidRPr="00FF5942">
                        <w:rPr>
                          <w:rStyle w:val="Emphasis"/>
                          <w:rFonts w:ascii="Times New Roman" w:hAnsi="Times New Roman" w:cs="Times New Roman"/>
                          <w:color w:val="000000"/>
                          <w:sz w:val="16"/>
                          <w:szCs w:val="16"/>
                          <w:shd w:val="clear" w:color="auto" w:fill="FFFFFF"/>
                        </w:rPr>
                        <w:t>CAG-cagA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homozygous male mouse (B-10). Scale bars, 100 μm. (</w:t>
                      </w:r>
                      <w:r w:rsidRPr="00FF5942">
                        <w:rPr>
                          <w:rStyle w:val="Emphasis"/>
                          <w:rFonts w:ascii="Times New Roman" w:hAnsi="Times New Roman" w:cs="Times New Roman"/>
                          <w:color w:val="000000"/>
                          <w:sz w:val="16"/>
                          <w:szCs w:val="16"/>
                          <w:shd w:val="clear" w:color="auto" w:fill="FFFFFF"/>
                        </w:rPr>
                        <w:t>C</w:t>
                      </w:r>
                      <w:r w:rsidRPr="00FF5942">
                        <w:rPr>
                          <w:rFonts w:ascii="Times New Roman" w:hAnsi="Times New Roman" w:cs="Times New Roman"/>
                          <w:color w:val="000000"/>
                          <w:sz w:val="16"/>
                          <w:szCs w:val="16"/>
                          <w:shd w:val="clear" w:color="auto" w:fill="FFFFFF"/>
                        </w:rPr>
                        <w:t>) Adenocarcinoma developed in the small intestine of a 72-week-old </w:t>
                      </w:r>
                      <w:r w:rsidRPr="00FF5942">
                        <w:rPr>
                          <w:rStyle w:val="Emphasis"/>
                          <w:rFonts w:ascii="Times New Roman" w:hAnsi="Times New Roman" w:cs="Times New Roman"/>
                          <w:color w:val="000000"/>
                          <w:sz w:val="16"/>
                          <w:szCs w:val="16"/>
                          <w:shd w:val="clear" w:color="auto" w:fill="FFFFFF"/>
                        </w:rPr>
                        <w:t>CAG-cagA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heterozygous male mouse (B-10). In the p53-immunostaining panel, matched control is shown in </w:t>
                      </w:r>
                      <w:r w:rsidRPr="00FF5942">
                        <w:rPr>
                          <w:rStyle w:val="Emphasis"/>
                          <w:rFonts w:ascii="Times New Roman" w:hAnsi="Times New Roman" w:cs="Times New Roman"/>
                          <w:color w:val="000000"/>
                          <w:sz w:val="16"/>
                          <w:szCs w:val="16"/>
                          <w:shd w:val="clear" w:color="auto" w:fill="FFFFFF"/>
                        </w:rPr>
                        <w:t>Inset</w:t>
                      </w:r>
                      <w:r w:rsidRPr="00FF5942">
                        <w:rPr>
                          <w:rFonts w:ascii="Times New Roman" w:hAnsi="Times New Roman" w:cs="Times New Roman"/>
                          <w:color w:val="000000"/>
                          <w:sz w:val="16"/>
                          <w:szCs w:val="16"/>
                          <w:shd w:val="clear" w:color="auto" w:fill="FFFFFF"/>
                        </w:rPr>
                        <w:t>. (Scale bars, 100 μm.) (</w:t>
                      </w:r>
                      <w:r w:rsidRPr="00FF5942">
                        <w:rPr>
                          <w:rStyle w:val="Emphasis"/>
                          <w:rFonts w:ascii="Times New Roman" w:hAnsi="Times New Roman" w:cs="Times New Roman"/>
                          <w:color w:val="000000"/>
                          <w:sz w:val="16"/>
                          <w:szCs w:val="16"/>
                          <w:shd w:val="clear" w:color="auto" w:fill="FFFFFF"/>
                        </w:rPr>
                        <w:t>D</w:t>
                      </w:r>
                      <w:r w:rsidRPr="00FF5942">
                        <w:rPr>
                          <w:rFonts w:ascii="Times New Roman" w:hAnsi="Times New Roman" w:cs="Times New Roman"/>
                          <w:color w:val="000000"/>
                          <w:sz w:val="16"/>
                          <w:szCs w:val="16"/>
                          <w:shd w:val="clear" w:color="auto" w:fill="FFFFFF"/>
                        </w:rPr>
                        <w:t>) Ki-67 labeling indexes of gastric lesions in </w:t>
                      </w:r>
                      <w:r w:rsidRPr="00FF5942">
                        <w:rPr>
                          <w:rStyle w:val="Emphasis"/>
                          <w:rFonts w:ascii="Times New Roman" w:hAnsi="Times New Roman" w:cs="Times New Roman"/>
                          <w:color w:val="000000"/>
                          <w:sz w:val="16"/>
                          <w:szCs w:val="16"/>
                          <w:shd w:val="clear" w:color="auto" w:fill="FFFFFF"/>
                        </w:rPr>
                        <w:t>cagA</w:t>
                      </w:r>
                      <w:r w:rsidRPr="00FF5942">
                        <w:rPr>
                          <w:rStyle w:val="Emphasis"/>
                          <w:rFonts w:ascii="Times New Roman" w:hAnsi="Times New Roman" w:cs="Times New Roman"/>
                          <w:color w:val="000000"/>
                          <w:sz w:val="16"/>
                          <w:szCs w:val="16"/>
                          <w:shd w:val="clear" w:color="auto" w:fill="FFFFFF"/>
                          <w:vertAlign w:val="superscript"/>
                        </w:rPr>
                        <w:t>Hs</w:t>
                      </w:r>
                      <w:r w:rsidRPr="00FF5942">
                        <w:rPr>
                          <w:rFonts w:ascii="Times New Roman" w:hAnsi="Times New Roman" w:cs="Times New Roman"/>
                          <w:color w:val="000000"/>
                          <w:sz w:val="16"/>
                          <w:szCs w:val="16"/>
                          <w:shd w:val="clear" w:color="auto" w:fill="FFFFFF"/>
                        </w:rPr>
                        <w:t> mice. Error bars indicate mean ± SD. From Ohnishi et al.</w:t>
                      </w:r>
                    </w:p>
                  </w:txbxContent>
                </v:textbox>
                <w10:wrap type="square"/>
              </v:shape>
            </w:pict>
          </mc:Fallback>
        </mc:AlternateContent>
      </w:r>
      <w:r w:rsidR="008B4597" w:rsidRPr="00537EE8">
        <w:rPr>
          <w:rFonts w:ascii="Times New Roman" w:hAnsi="Times New Roman" w:cs="Times New Roman"/>
          <w:sz w:val="24"/>
          <w:szCs w:val="24"/>
        </w:rPr>
        <w:t xml:space="preserve">Ohnishi et al (2008) were able to conclude that CagA is </w:t>
      </w:r>
      <w:r w:rsidR="00E02AFB" w:rsidRPr="00537EE8">
        <w:rPr>
          <w:rFonts w:ascii="Times New Roman" w:hAnsi="Times New Roman" w:cs="Times New Roman"/>
          <w:sz w:val="24"/>
          <w:szCs w:val="24"/>
        </w:rPr>
        <w:t xml:space="preserve">an oncoprotein and is </w:t>
      </w:r>
      <w:r w:rsidR="008B4597" w:rsidRPr="00537EE8">
        <w:rPr>
          <w:rFonts w:ascii="Times New Roman" w:hAnsi="Times New Roman" w:cs="Times New Roman"/>
          <w:sz w:val="24"/>
          <w:szCs w:val="24"/>
        </w:rPr>
        <w:t xml:space="preserve">able to cause a variety </w:t>
      </w:r>
      <w:r w:rsidR="00AB5301" w:rsidRPr="00537EE8">
        <w:rPr>
          <w:rFonts w:ascii="Times New Roman" w:hAnsi="Times New Roman" w:cs="Times New Roman"/>
          <w:sz w:val="24"/>
          <w:szCs w:val="24"/>
        </w:rPr>
        <w:t>of gastrointestinal cellular growth such as epithelial hyperplasia, polyps, and even cancer in the form of adenocarcinoma. They came to this conclusion by chemically synthesizing the humanized cagA gene (cag</w:t>
      </w:r>
      <w:r w:rsidR="00E02AFB" w:rsidRPr="00537EE8">
        <w:rPr>
          <w:rFonts w:ascii="Times New Roman" w:hAnsi="Times New Roman" w:cs="Times New Roman"/>
          <w:sz w:val="24"/>
          <w:szCs w:val="24"/>
        </w:rPr>
        <w:t>A</w:t>
      </w:r>
      <w:r w:rsidR="00E02AFB" w:rsidRPr="00537EE8">
        <w:rPr>
          <w:rFonts w:ascii="Times New Roman" w:hAnsi="Times New Roman" w:cs="Times New Roman"/>
          <w:sz w:val="24"/>
          <w:szCs w:val="24"/>
          <w:vertAlign w:val="superscript"/>
        </w:rPr>
        <w:t>Hs</w:t>
      </w:r>
      <w:r w:rsidR="00E02AFB" w:rsidRPr="00537EE8">
        <w:rPr>
          <w:rFonts w:ascii="Times New Roman" w:hAnsi="Times New Roman" w:cs="Times New Roman"/>
          <w:sz w:val="24"/>
          <w:szCs w:val="24"/>
        </w:rPr>
        <w:t xml:space="preserve">) and subcloning it into a vector. The desired Cag fragment consisting of the promoter was then excised from the plasmid with the use of a restriction digest and then the fragment was injected into fertilized </w:t>
      </w:r>
      <w:r w:rsidR="00E02AFB" w:rsidRPr="00537EE8">
        <w:rPr>
          <w:rFonts w:ascii="Times New Roman" w:hAnsi="Times New Roman" w:cs="Times New Roman"/>
          <w:sz w:val="24"/>
          <w:szCs w:val="24"/>
        </w:rPr>
        <w:lastRenderedPageBreak/>
        <w:t>eggs of mice</w:t>
      </w:r>
      <w:r w:rsidR="006A7884" w:rsidRPr="00537EE8">
        <w:rPr>
          <w:rFonts w:ascii="Times New Roman" w:hAnsi="Times New Roman" w:cs="Times New Roman"/>
          <w:sz w:val="24"/>
          <w:szCs w:val="24"/>
        </w:rPr>
        <w:t xml:space="preserve"> (Ohnishi et al., </w:t>
      </w:r>
      <w:r w:rsidR="006A7884" w:rsidRPr="00537EE8">
        <w:rPr>
          <w:rFonts w:ascii="Times New Roman" w:hAnsi="Times New Roman" w:cs="Times New Roman"/>
          <w:sz w:val="24"/>
          <w:szCs w:val="24"/>
        </w:rPr>
        <w:t>2008)</w:t>
      </w:r>
      <w:r w:rsidR="00E02AFB" w:rsidRPr="00537EE8">
        <w:rPr>
          <w:rFonts w:ascii="Times New Roman" w:hAnsi="Times New Roman" w:cs="Times New Roman"/>
          <w:sz w:val="24"/>
          <w:szCs w:val="24"/>
        </w:rPr>
        <w:t>. Throughout the experiment, mice of different ages were killed and autopsied and their gastric cells were analyzed using the following techniques: immunoprecipitation and immunoblotting, histopathological analysis, and flow cytometry</w:t>
      </w:r>
      <w:r w:rsidR="006A7884" w:rsidRPr="00537EE8">
        <w:rPr>
          <w:rFonts w:ascii="Times New Roman" w:hAnsi="Times New Roman" w:cs="Times New Roman"/>
          <w:sz w:val="24"/>
          <w:szCs w:val="24"/>
        </w:rPr>
        <w:t xml:space="preserve"> (</w:t>
      </w:r>
      <w:r w:rsidR="006A7884" w:rsidRPr="00537EE8">
        <w:rPr>
          <w:rFonts w:ascii="Times New Roman" w:hAnsi="Times New Roman" w:cs="Times New Roman"/>
          <w:sz w:val="24"/>
          <w:szCs w:val="24"/>
        </w:rPr>
        <w:t>Ohnishi et al (2008)</w:t>
      </w:r>
      <w:r w:rsidR="00E02AFB" w:rsidRPr="00537EE8">
        <w:rPr>
          <w:rFonts w:ascii="Times New Roman" w:hAnsi="Times New Roman" w:cs="Times New Roman"/>
          <w:sz w:val="24"/>
          <w:szCs w:val="24"/>
        </w:rPr>
        <w:t>.</w:t>
      </w:r>
    </w:p>
    <w:p w:rsidR="00696D4D" w:rsidRPr="00537EE8" w:rsidRDefault="00432151"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Based on the findings</w:t>
      </w:r>
      <w:r w:rsidR="006A7884" w:rsidRPr="00537EE8">
        <w:rPr>
          <w:rFonts w:ascii="Times New Roman" w:hAnsi="Times New Roman" w:cs="Times New Roman"/>
          <w:sz w:val="24"/>
          <w:szCs w:val="24"/>
        </w:rPr>
        <w:t xml:space="preserve"> </w:t>
      </w:r>
      <w:r w:rsidR="00E02AFB" w:rsidRPr="00537EE8">
        <w:rPr>
          <w:rFonts w:ascii="Times New Roman" w:hAnsi="Times New Roman" w:cs="Times New Roman"/>
          <w:sz w:val="24"/>
          <w:szCs w:val="24"/>
        </w:rPr>
        <w:t>of Ohnishi et al (2008)</w:t>
      </w:r>
      <w:r w:rsidRPr="00537EE8">
        <w:rPr>
          <w:rFonts w:ascii="Times New Roman" w:hAnsi="Times New Roman" w:cs="Times New Roman"/>
          <w:sz w:val="24"/>
          <w:szCs w:val="24"/>
        </w:rPr>
        <w:t xml:space="preserve"> as well as Moss</w:t>
      </w:r>
      <w:r w:rsidR="006A7884" w:rsidRPr="00537EE8">
        <w:rPr>
          <w:rFonts w:ascii="Times New Roman" w:hAnsi="Times New Roman" w:cs="Times New Roman"/>
          <w:sz w:val="24"/>
          <w:szCs w:val="24"/>
        </w:rPr>
        <w:t xml:space="preserve"> (1998)</w:t>
      </w:r>
      <w:r w:rsidR="00FF5942" w:rsidRPr="00537EE8">
        <w:rPr>
          <w:rFonts w:ascii="Times New Roman" w:hAnsi="Times New Roman" w:cs="Times New Roman"/>
          <w:sz w:val="24"/>
          <w:szCs w:val="24"/>
        </w:rPr>
        <w:t xml:space="preserve"> illustrates the ability of CagA to be oncogenic </w:t>
      </w:r>
      <w:r w:rsidRPr="00537EE8">
        <w:rPr>
          <w:rFonts w:ascii="Times New Roman" w:hAnsi="Times New Roman" w:cs="Times New Roman"/>
          <w:sz w:val="24"/>
          <w:szCs w:val="24"/>
        </w:rPr>
        <w:t xml:space="preserve">and influence apoptosis. However, it is still not understood how apoptosis is affected by CagA. I will design an experiment that aims to isolate the effects that CagA in H.pylori has on apoptosis in gastric cancer cells. By determining the effects that CagA has on apoptosis in gastric cancer cells we may become one step closer to understanding how to more effectively treat gastric cancer, decreasing the large amount of deaths from the disease each year. </w:t>
      </w:r>
    </w:p>
    <w:p w:rsidR="00432151" w:rsidRPr="00537EE8" w:rsidRDefault="00432151" w:rsidP="00432151">
      <w:pPr>
        <w:rPr>
          <w:rFonts w:ascii="Times New Roman" w:hAnsi="Times New Roman" w:cs="Times New Roman"/>
          <w:sz w:val="24"/>
          <w:szCs w:val="24"/>
        </w:rPr>
      </w:pPr>
      <w:r w:rsidRPr="00537EE8">
        <w:rPr>
          <w:rFonts w:ascii="Times New Roman" w:hAnsi="Times New Roman" w:cs="Times New Roman"/>
          <w:b/>
          <w:sz w:val="24"/>
          <w:szCs w:val="24"/>
        </w:rPr>
        <w:t xml:space="preserve">II. Experiment </w:t>
      </w:r>
    </w:p>
    <w:p w:rsidR="00AC2109" w:rsidRPr="00537EE8" w:rsidRDefault="00432151"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The goal of this experiment is to</w:t>
      </w:r>
      <w:r w:rsidR="00B36048" w:rsidRPr="00537EE8">
        <w:rPr>
          <w:rFonts w:ascii="Times New Roman" w:hAnsi="Times New Roman" w:cs="Times New Roman"/>
          <w:sz w:val="24"/>
          <w:szCs w:val="24"/>
        </w:rPr>
        <w:t xml:space="preserve"> </w:t>
      </w:r>
      <w:r w:rsidR="00D76E12" w:rsidRPr="00537EE8">
        <w:rPr>
          <w:rFonts w:ascii="Times New Roman" w:hAnsi="Times New Roman" w:cs="Times New Roman"/>
          <w:sz w:val="24"/>
          <w:szCs w:val="24"/>
        </w:rPr>
        <w:t xml:space="preserve">use PCR in order to make copies of the CagA gene in order to insert CagA into half of the cultured </w:t>
      </w:r>
      <w:r w:rsidR="00390B9D" w:rsidRPr="00537EE8">
        <w:rPr>
          <w:rFonts w:ascii="Times New Roman" w:hAnsi="Times New Roman" w:cs="Times New Roman"/>
          <w:i/>
          <w:sz w:val="24"/>
          <w:szCs w:val="24"/>
        </w:rPr>
        <w:t>H. pylori</w:t>
      </w:r>
      <w:r w:rsidR="00D76E12" w:rsidRPr="00537EE8">
        <w:rPr>
          <w:rFonts w:ascii="Times New Roman" w:hAnsi="Times New Roman" w:cs="Times New Roman"/>
          <w:sz w:val="24"/>
          <w:szCs w:val="24"/>
        </w:rPr>
        <w:t xml:space="preserve"> CagA-negative bacteria. This experiment will generate two gastric cancer cell lines one containing CagA-positive H pylori and one containing CagA-negative </w:t>
      </w:r>
      <w:r w:rsidR="00390B9D" w:rsidRPr="00537EE8">
        <w:rPr>
          <w:rFonts w:ascii="Times New Roman" w:hAnsi="Times New Roman" w:cs="Times New Roman"/>
          <w:i/>
          <w:sz w:val="24"/>
          <w:szCs w:val="24"/>
        </w:rPr>
        <w:t>H. pylori</w:t>
      </w:r>
      <w:r w:rsidR="00D76E12" w:rsidRPr="00537EE8">
        <w:rPr>
          <w:rFonts w:ascii="Times New Roman" w:hAnsi="Times New Roman" w:cs="Times New Roman"/>
          <w:sz w:val="24"/>
          <w:szCs w:val="24"/>
        </w:rPr>
        <w:t xml:space="preserve">. Because the </w:t>
      </w:r>
      <w:r w:rsidR="00390B9D" w:rsidRPr="00537EE8">
        <w:rPr>
          <w:rFonts w:ascii="Times New Roman" w:hAnsi="Times New Roman" w:cs="Times New Roman"/>
          <w:i/>
          <w:sz w:val="24"/>
          <w:szCs w:val="24"/>
        </w:rPr>
        <w:t>H. pylori</w:t>
      </w:r>
      <w:r w:rsidR="00D76E12" w:rsidRPr="00537EE8">
        <w:rPr>
          <w:rFonts w:ascii="Times New Roman" w:hAnsi="Times New Roman" w:cs="Times New Roman"/>
          <w:sz w:val="24"/>
          <w:szCs w:val="24"/>
        </w:rPr>
        <w:t xml:space="preserve"> had identical genomes before the insertion of the CagA gene, any difference in apoptosis, measured through the use of flow cytometry, can be attributed to the presence of the CagA gene.  </w:t>
      </w:r>
    </w:p>
    <w:p w:rsidR="00D376C8" w:rsidRPr="00537EE8" w:rsidRDefault="00B36048"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In order to perform this experiment gastric </w:t>
      </w:r>
      <w:r w:rsidR="00D376C8" w:rsidRPr="00537EE8">
        <w:rPr>
          <w:rFonts w:ascii="Times New Roman" w:hAnsi="Times New Roman" w:cs="Times New Roman"/>
          <w:sz w:val="24"/>
          <w:szCs w:val="24"/>
        </w:rPr>
        <w:t>cancer cell lines will need to be obtained from ATCC</w:t>
      </w:r>
      <w:r w:rsidR="00F62F34" w:rsidRPr="00537EE8">
        <w:rPr>
          <w:rFonts w:ascii="Times New Roman" w:hAnsi="Times New Roman" w:cs="Times New Roman"/>
          <w:sz w:val="24"/>
          <w:szCs w:val="24"/>
        </w:rPr>
        <w:t xml:space="preserve"> (2016)</w:t>
      </w:r>
      <w:r w:rsidR="00D376C8" w:rsidRPr="00537EE8">
        <w:rPr>
          <w:rFonts w:ascii="Times New Roman" w:hAnsi="Times New Roman" w:cs="Times New Roman"/>
          <w:sz w:val="24"/>
          <w:szCs w:val="24"/>
        </w:rPr>
        <w:t>, an organization that collects and cultures a variety of cell lines for uses in clinical studies and scientific research</w:t>
      </w:r>
      <w:r w:rsidR="006A7884" w:rsidRPr="00537EE8">
        <w:rPr>
          <w:rFonts w:ascii="Times New Roman" w:hAnsi="Times New Roman" w:cs="Times New Roman"/>
          <w:sz w:val="24"/>
          <w:szCs w:val="24"/>
        </w:rPr>
        <w:t xml:space="preserve"> (ATCC</w:t>
      </w:r>
      <w:r w:rsidR="00F62F34" w:rsidRPr="00537EE8">
        <w:rPr>
          <w:rFonts w:ascii="Times New Roman" w:hAnsi="Times New Roman" w:cs="Times New Roman"/>
          <w:sz w:val="24"/>
          <w:szCs w:val="24"/>
        </w:rPr>
        <w:t>, 2016</w:t>
      </w:r>
      <w:r w:rsidR="006A7884" w:rsidRPr="00537EE8">
        <w:rPr>
          <w:rFonts w:ascii="Times New Roman" w:hAnsi="Times New Roman" w:cs="Times New Roman"/>
          <w:sz w:val="24"/>
          <w:szCs w:val="24"/>
        </w:rPr>
        <w:t>)</w:t>
      </w:r>
      <w:r w:rsidR="00D376C8" w:rsidRPr="00537EE8">
        <w:rPr>
          <w:rFonts w:ascii="Times New Roman" w:hAnsi="Times New Roman" w:cs="Times New Roman"/>
          <w:sz w:val="24"/>
          <w:szCs w:val="24"/>
        </w:rPr>
        <w:t>. In order to maintain the cell cultures the cells will be maint</w:t>
      </w:r>
      <w:r w:rsidR="006215E8" w:rsidRPr="00537EE8">
        <w:rPr>
          <w:rFonts w:ascii="Times New Roman" w:hAnsi="Times New Roman" w:cs="Times New Roman"/>
          <w:sz w:val="24"/>
          <w:szCs w:val="24"/>
        </w:rPr>
        <w:t xml:space="preserve">ained in a humidified incubator. </w:t>
      </w:r>
      <w:r w:rsidR="00D376C8" w:rsidRPr="00537EE8">
        <w:rPr>
          <w:rFonts w:ascii="Times New Roman" w:hAnsi="Times New Roman" w:cs="Times New Roman"/>
          <w:sz w:val="24"/>
          <w:szCs w:val="24"/>
        </w:rPr>
        <w:t xml:space="preserve">This </w:t>
      </w:r>
      <w:r w:rsidR="006A7884" w:rsidRPr="00537EE8">
        <w:rPr>
          <w:rFonts w:ascii="Times New Roman" w:hAnsi="Times New Roman" w:cs="Times New Roman"/>
          <w:sz w:val="24"/>
          <w:szCs w:val="24"/>
        </w:rPr>
        <w:t>technique was also used by Mia</w:t>
      </w:r>
      <w:r w:rsidR="00D376C8" w:rsidRPr="00537EE8">
        <w:rPr>
          <w:rFonts w:ascii="Times New Roman" w:hAnsi="Times New Roman" w:cs="Times New Roman"/>
          <w:sz w:val="24"/>
          <w:szCs w:val="24"/>
        </w:rPr>
        <w:t xml:space="preserve"> et al</w:t>
      </w:r>
      <w:r w:rsidR="006A7884" w:rsidRPr="00537EE8">
        <w:rPr>
          <w:rFonts w:ascii="Times New Roman" w:hAnsi="Times New Roman" w:cs="Times New Roman"/>
          <w:sz w:val="24"/>
          <w:szCs w:val="24"/>
        </w:rPr>
        <w:t xml:space="preserve"> (2017)</w:t>
      </w:r>
      <w:r w:rsidR="00D376C8" w:rsidRPr="00537EE8">
        <w:rPr>
          <w:rFonts w:ascii="Times New Roman" w:hAnsi="Times New Roman" w:cs="Times New Roman"/>
          <w:sz w:val="24"/>
          <w:szCs w:val="24"/>
        </w:rPr>
        <w:t xml:space="preserve">. The gastric cancer cell lines will be split onto two different plates containing a transport media that will allow for the proliferation of gastric cancer cells and help to inhibit the growth of unwanted bacteria. </w:t>
      </w:r>
    </w:p>
    <w:p w:rsidR="00B36048" w:rsidRPr="00537EE8" w:rsidRDefault="00D376C8"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The next step in the experiment is to grow and replicate </w:t>
      </w:r>
      <w:r w:rsidR="00390B9D" w:rsidRPr="00537EE8">
        <w:rPr>
          <w:rFonts w:ascii="Times New Roman" w:hAnsi="Times New Roman" w:cs="Times New Roman"/>
          <w:i/>
          <w:sz w:val="24"/>
          <w:szCs w:val="24"/>
        </w:rPr>
        <w:t>H. pylori</w:t>
      </w:r>
      <w:r w:rsidR="0044562C" w:rsidRPr="00537EE8">
        <w:rPr>
          <w:rFonts w:ascii="Times New Roman" w:hAnsi="Times New Roman" w:cs="Times New Roman"/>
          <w:sz w:val="24"/>
          <w:szCs w:val="24"/>
        </w:rPr>
        <w:t xml:space="preserve"> on two separate plates, one plate containing </w:t>
      </w:r>
      <w:r w:rsidR="00390B9D" w:rsidRPr="00537EE8">
        <w:rPr>
          <w:rFonts w:ascii="Times New Roman" w:hAnsi="Times New Roman" w:cs="Times New Roman"/>
          <w:i/>
          <w:sz w:val="24"/>
          <w:szCs w:val="24"/>
        </w:rPr>
        <w:t>H. pylori</w:t>
      </w:r>
      <w:r w:rsidR="0044562C" w:rsidRPr="00537EE8">
        <w:rPr>
          <w:rFonts w:ascii="Times New Roman" w:hAnsi="Times New Roman" w:cs="Times New Roman"/>
          <w:sz w:val="24"/>
          <w:szCs w:val="24"/>
        </w:rPr>
        <w:t xml:space="preserve"> CagA positive strain and the other plate containing </w:t>
      </w:r>
      <w:r w:rsidR="00390B9D" w:rsidRPr="00537EE8">
        <w:rPr>
          <w:rFonts w:ascii="Times New Roman" w:hAnsi="Times New Roman" w:cs="Times New Roman"/>
          <w:i/>
          <w:sz w:val="24"/>
          <w:szCs w:val="24"/>
        </w:rPr>
        <w:t>H. pylori</w:t>
      </w:r>
      <w:r w:rsidR="0044562C" w:rsidRPr="00537EE8">
        <w:rPr>
          <w:rFonts w:ascii="Times New Roman" w:hAnsi="Times New Roman" w:cs="Times New Roman"/>
          <w:sz w:val="24"/>
          <w:szCs w:val="24"/>
        </w:rPr>
        <w:t xml:space="preserve"> CagA negative strain </w:t>
      </w:r>
      <w:r w:rsidRPr="00537EE8">
        <w:rPr>
          <w:rFonts w:ascii="Times New Roman" w:hAnsi="Times New Roman" w:cs="Times New Roman"/>
          <w:sz w:val="24"/>
          <w:szCs w:val="24"/>
        </w:rPr>
        <w:t>in vitro</w:t>
      </w:r>
      <w:r w:rsidR="0044562C" w:rsidRPr="00537EE8">
        <w:rPr>
          <w:rFonts w:ascii="Times New Roman" w:hAnsi="Times New Roman" w:cs="Times New Roman"/>
          <w:sz w:val="24"/>
          <w:szCs w:val="24"/>
        </w:rPr>
        <w:t xml:space="preserve">. By replicating the bacteria in vitro, it helps </w:t>
      </w:r>
      <w:r w:rsidRPr="00537EE8">
        <w:rPr>
          <w:rFonts w:ascii="Times New Roman" w:hAnsi="Times New Roman" w:cs="Times New Roman"/>
          <w:sz w:val="24"/>
          <w:szCs w:val="24"/>
        </w:rPr>
        <w:t xml:space="preserve">ensure that the genomes of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are as identical as possible, to control for gene variation. In order to grow the H.pylori, the bacteria will be cultured on a nutrient-rich agar. Because an environment with reduced oxygen is ideal for growth of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a closed system that can produce this environment is required. In order to generate the closed system an anaerobic jar which can simulate microaerophilic, low oxygen concentrations, conditions</w:t>
      </w:r>
      <w:r w:rsidR="00537EE8" w:rsidRPr="00537EE8">
        <w:rPr>
          <w:rFonts w:ascii="Times New Roman" w:hAnsi="Times New Roman" w:cs="Times New Roman"/>
          <w:sz w:val="24"/>
          <w:szCs w:val="24"/>
        </w:rPr>
        <w:t xml:space="preserve"> (Blanchard, et al. 2006</w:t>
      </w:r>
      <w:r w:rsidR="006A7884" w:rsidRPr="00537EE8">
        <w:rPr>
          <w:rFonts w:ascii="Times New Roman" w:hAnsi="Times New Roman" w:cs="Times New Roman"/>
          <w:sz w:val="24"/>
          <w:szCs w:val="24"/>
        </w:rPr>
        <w:t>)</w:t>
      </w:r>
      <w:r w:rsidRPr="00537EE8">
        <w:rPr>
          <w:rFonts w:ascii="Times New Roman" w:hAnsi="Times New Roman" w:cs="Times New Roman"/>
          <w:sz w:val="24"/>
          <w:szCs w:val="24"/>
        </w:rPr>
        <w:t xml:space="preserve">. </w:t>
      </w:r>
    </w:p>
    <w:p w:rsidR="00D376C8" w:rsidRPr="00537EE8" w:rsidRDefault="00D376C8"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Once the gastric cancer cells and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bacteria are cultured and maintained, </w:t>
      </w:r>
      <w:r w:rsidR="0044562C" w:rsidRPr="00537EE8">
        <w:rPr>
          <w:rFonts w:ascii="Times New Roman" w:hAnsi="Times New Roman" w:cs="Times New Roman"/>
          <w:sz w:val="24"/>
          <w:szCs w:val="24"/>
        </w:rPr>
        <w:t>the CagA gene from the</w:t>
      </w:r>
      <w:r w:rsidRPr="00537EE8">
        <w:rPr>
          <w:rFonts w:ascii="Times New Roman" w:hAnsi="Times New Roman" w:cs="Times New Roman"/>
          <w:sz w:val="24"/>
          <w:szCs w:val="24"/>
        </w:rPr>
        <w:t xml:space="preserve">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w:t>
      </w:r>
      <w:r w:rsidR="0044562C" w:rsidRPr="00537EE8">
        <w:rPr>
          <w:rFonts w:ascii="Times New Roman" w:hAnsi="Times New Roman" w:cs="Times New Roman"/>
          <w:sz w:val="24"/>
          <w:szCs w:val="24"/>
        </w:rPr>
        <w:t>CagA positive culture is replicated using PCR. In order to replicate the entire CagA gene the following primers were used: CagA-F 5’ -ATGACTAACGAAACTATTGATCAA-3’ and CagA-R 5’ -TTAAGATTTTTGGAAACCAC-3’. This technique</w:t>
      </w:r>
      <w:r w:rsidR="006A7884" w:rsidRPr="00537EE8">
        <w:rPr>
          <w:rFonts w:ascii="Times New Roman" w:hAnsi="Times New Roman" w:cs="Times New Roman"/>
          <w:sz w:val="24"/>
          <w:szCs w:val="24"/>
        </w:rPr>
        <w:t xml:space="preserve"> as well as the primers were</w:t>
      </w:r>
      <w:r w:rsidR="0044562C" w:rsidRPr="00537EE8">
        <w:rPr>
          <w:rFonts w:ascii="Times New Roman" w:hAnsi="Times New Roman" w:cs="Times New Roman"/>
          <w:sz w:val="24"/>
          <w:szCs w:val="24"/>
        </w:rPr>
        <w:t xml:space="preserve"> also utilized by Vallejo-Flores et al. (2015) in order to replicate the CagA gene. </w:t>
      </w:r>
    </w:p>
    <w:p w:rsidR="0044562C" w:rsidRPr="00537EE8" w:rsidRDefault="0044562C" w:rsidP="00C64AE1">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After the CagA gene is replicated, the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CagA- negative strain needs to be split into two different cultures. The CagA gene that was replicated previously needs to be </w:t>
      </w:r>
      <w:r w:rsidRPr="00537EE8">
        <w:rPr>
          <w:rFonts w:ascii="Times New Roman" w:hAnsi="Times New Roman" w:cs="Times New Roman"/>
          <w:sz w:val="24"/>
          <w:szCs w:val="24"/>
        </w:rPr>
        <w:lastRenderedPageBreak/>
        <w:t xml:space="preserve">inserted into one of the H.pylori CagA-negative cultures. This process ensures that all of the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bacteria contain the same genes, the only difference being whether the CagA gene is present or not. This will help ensure that any effect on apoptosis is due to the CagA gene and the expression of its produced protein and not a difference in the H.pylori genome between cultures. </w:t>
      </w:r>
    </w:p>
    <w:p w:rsidR="0038463D" w:rsidRPr="00537EE8" w:rsidRDefault="006A7884" w:rsidP="00C64AE1">
      <w:pPr>
        <w:spacing w:line="240" w:lineRule="auto"/>
        <w:rPr>
          <w:rFonts w:ascii="Times New Roman" w:hAnsi="Times New Roman" w:cs="Times New Roman"/>
          <w:sz w:val="24"/>
          <w:szCs w:val="24"/>
        </w:rPr>
      </w:pPr>
      <w:r w:rsidRPr="00537EE8">
        <w:rPr>
          <w:rFonts w:ascii="Times New Roman" w:hAnsi="Times New Roman" w:cs="Times New Roman"/>
          <w:noProof/>
        </w:rPr>
        <w:drawing>
          <wp:anchor distT="0" distB="0" distL="114300" distR="114300" simplePos="0" relativeHeight="251668480" behindDoc="0" locked="0" layoutInCell="1" allowOverlap="1">
            <wp:simplePos x="0" y="0"/>
            <wp:positionH relativeFrom="page">
              <wp:align>right</wp:align>
            </wp:positionH>
            <wp:positionV relativeFrom="paragraph">
              <wp:posOffset>755421</wp:posOffset>
            </wp:positionV>
            <wp:extent cx="4059555" cy="1829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67" t="48592" r="59860" b="21062"/>
                    <a:stretch/>
                  </pic:blipFill>
                  <pic:spPr bwMode="auto">
                    <a:xfrm>
                      <a:off x="0" y="0"/>
                      <a:ext cx="4059555" cy="182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62C" w:rsidRPr="00537EE8">
        <w:rPr>
          <w:rFonts w:ascii="Times New Roman" w:hAnsi="Times New Roman" w:cs="Times New Roman"/>
          <w:sz w:val="24"/>
          <w:szCs w:val="24"/>
        </w:rPr>
        <w:t xml:space="preserve">The two new cultures created with the addition of CagA into the </w:t>
      </w:r>
      <w:r w:rsidR="00390B9D" w:rsidRPr="00537EE8">
        <w:rPr>
          <w:rFonts w:ascii="Times New Roman" w:hAnsi="Times New Roman" w:cs="Times New Roman"/>
          <w:i/>
          <w:sz w:val="24"/>
          <w:szCs w:val="24"/>
        </w:rPr>
        <w:t>H. pylori</w:t>
      </w:r>
      <w:r w:rsidR="0044562C" w:rsidRPr="00537EE8">
        <w:rPr>
          <w:rFonts w:ascii="Times New Roman" w:hAnsi="Times New Roman" w:cs="Times New Roman"/>
          <w:sz w:val="24"/>
          <w:szCs w:val="24"/>
        </w:rPr>
        <w:t xml:space="preserve"> CagA-negative strains will then be used to infect one of the gastric cancer cell cultures through injection. At this point one gastric cancer cell culture contains </w:t>
      </w:r>
      <w:r w:rsidR="00390B9D" w:rsidRPr="00537EE8">
        <w:rPr>
          <w:rFonts w:ascii="Times New Roman" w:hAnsi="Times New Roman" w:cs="Times New Roman"/>
          <w:i/>
          <w:sz w:val="24"/>
          <w:szCs w:val="24"/>
        </w:rPr>
        <w:t>H. pylori</w:t>
      </w:r>
      <w:r w:rsidR="0044562C" w:rsidRPr="00537EE8">
        <w:rPr>
          <w:rFonts w:ascii="Times New Roman" w:hAnsi="Times New Roman" w:cs="Times New Roman"/>
          <w:sz w:val="24"/>
          <w:szCs w:val="24"/>
        </w:rPr>
        <w:t xml:space="preserve"> CagA- negative strain and the other gastric cancer cell culture contains </w:t>
      </w:r>
      <w:r w:rsidR="00390B9D" w:rsidRPr="00537EE8">
        <w:rPr>
          <w:rFonts w:ascii="Times New Roman" w:hAnsi="Times New Roman" w:cs="Times New Roman"/>
          <w:i/>
          <w:sz w:val="24"/>
          <w:szCs w:val="24"/>
        </w:rPr>
        <w:t>H. pylori</w:t>
      </w:r>
      <w:r w:rsidR="0044562C" w:rsidRPr="00537EE8">
        <w:rPr>
          <w:rFonts w:ascii="Times New Roman" w:hAnsi="Times New Roman" w:cs="Times New Roman"/>
          <w:sz w:val="24"/>
          <w:szCs w:val="24"/>
        </w:rPr>
        <w:t xml:space="preserve"> CagA-positive strain. These cells will then be left to incubate </w:t>
      </w:r>
      <w:r w:rsidR="0038463D" w:rsidRPr="00537EE8">
        <w:rPr>
          <w:rFonts w:ascii="Times New Roman" w:hAnsi="Times New Roman" w:cs="Times New Roman"/>
          <w:sz w:val="24"/>
          <w:szCs w:val="24"/>
        </w:rPr>
        <w:t xml:space="preserve">for 1 month checking on the plates every 2 days, as </w:t>
      </w:r>
      <w:r w:rsidR="00390B9D" w:rsidRPr="00537EE8">
        <w:rPr>
          <w:rFonts w:ascii="Times New Roman" w:hAnsi="Times New Roman" w:cs="Times New Roman"/>
          <w:i/>
          <w:sz w:val="24"/>
          <w:szCs w:val="24"/>
        </w:rPr>
        <w:t>H. pylori</w:t>
      </w:r>
      <w:r w:rsidR="0038463D" w:rsidRPr="00537EE8">
        <w:rPr>
          <w:rFonts w:ascii="Times New Roman" w:hAnsi="Times New Roman" w:cs="Times New Roman"/>
          <w:sz w:val="24"/>
          <w:szCs w:val="24"/>
        </w:rPr>
        <w:t xml:space="preserve"> colonies begin to visualize as early as 2-4 day</w:t>
      </w:r>
      <w:r w:rsidRPr="00537EE8">
        <w:rPr>
          <w:rFonts w:ascii="Times New Roman" w:hAnsi="Times New Roman" w:cs="Times New Roman"/>
          <w:sz w:val="24"/>
          <w:szCs w:val="24"/>
        </w:rPr>
        <w:t>s after plating (Blanchard et a</w:t>
      </w:r>
      <w:r w:rsidR="00537EE8" w:rsidRPr="00537EE8">
        <w:rPr>
          <w:rFonts w:ascii="Times New Roman" w:hAnsi="Times New Roman" w:cs="Times New Roman"/>
          <w:sz w:val="24"/>
          <w:szCs w:val="24"/>
        </w:rPr>
        <w:t>l, 2006</w:t>
      </w:r>
      <w:r w:rsidR="0038463D" w:rsidRPr="00537EE8">
        <w:rPr>
          <w:rFonts w:ascii="Times New Roman" w:hAnsi="Times New Roman" w:cs="Times New Roman"/>
          <w:sz w:val="24"/>
          <w:szCs w:val="24"/>
        </w:rPr>
        <w:t xml:space="preserve">). </w:t>
      </w:r>
    </w:p>
    <w:p w:rsidR="006215E8" w:rsidRPr="00537EE8" w:rsidRDefault="006A7884" w:rsidP="00C64AE1">
      <w:pPr>
        <w:spacing w:line="240" w:lineRule="auto"/>
        <w:rPr>
          <w:rFonts w:ascii="Times New Roman" w:hAnsi="Times New Roman" w:cs="Times New Roman"/>
          <w:sz w:val="24"/>
          <w:szCs w:val="24"/>
        </w:rPr>
      </w:pPr>
      <w:r w:rsidRPr="00537EE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3077439</wp:posOffset>
                </wp:positionH>
                <wp:positionV relativeFrom="paragraph">
                  <wp:posOffset>905611</wp:posOffset>
                </wp:positionV>
                <wp:extent cx="2360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A7884" w:rsidRPr="006A7884" w:rsidRDefault="006A7884" w:rsidP="006A7884">
                            <w:pPr>
                              <w:rPr>
                                <w:rFonts w:ascii="Times New Roman" w:hAnsi="Times New Roman" w:cs="Times New Roman"/>
                                <w:sz w:val="16"/>
                                <w:szCs w:val="16"/>
                              </w:rPr>
                            </w:pPr>
                            <w:r w:rsidRPr="006A7884">
                              <w:rPr>
                                <w:rFonts w:ascii="Times New Roman" w:hAnsi="Times New Roman" w:cs="Times New Roman"/>
                                <w:sz w:val="16"/>
                                <w:szCs w:val="16"/>
                              </w:rPr>
                              <w:t>Figure 4: Scatter analysis of DEX-induced apoptosis in mouse thymocytes. Apoptotic cells are clearly distinguishable from normal thymocytes for the reduced cell size (low FSC) and enhanced density (high SSC).</w:t>
                            </w:r>
                            <w:r>
                              <w:rPr>
                                <w:rFonts w:ascii="Times New Roman" w:hAnsi="Times New Roman" w:cs="Times New Roman"/>
                                <w:sz w:val="16"/>
                                <w:szCs w:val="16"/>
                              </w:rPr>
                              <w:t xml:space="preserve">From </w:t>
                            </w:r>
                            <w:r w:rsidRPr="006A7884">
                              <w:rPr>
                                <w:rFonts w:ascii="Times New Roman" w:hAnsi="Times New Roman" w:cs="Times New Roman"/>
                                <w:sz w:val="16"/>
                                <w:szCs w:val="16"/>
                              </w:rPr>
                              <w:t>Nicoletti et al.</w:t>
                            </w:r>
                          </w:p>
                        </w:txbxContent>
                      </wps:txbx>
                      <wps:bodyPr rot="0" vert="horz" wrap="square" lIns="91440" tIns="45720" rIns="91440" bIns="45720" anchor="t" anchorCtr="0">
                        <a:spAutoFit/>
                      </wps:bodyPr>
                    </wps:wsp>
                  </a:graphicData>
                </a:graphic>
              </wp:anchor>
            </w:drawing>
          </mc:Choice>
          <mc:Fallback>
            <w:pict>
              <v:shape id="_x0000_s1029" type="#_x0000_t202" style="position:absolute;margin-left:242.3pt;margin-top:71.3pt;width:185.9pt;height:11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">
                <v:textbox style="mso-fit-shape-to-text:t">
                  <w:txbxContent>
                    <w:p w:rsidR="006A7884" w:rsidRPr="006A7884" w:rsidRDefault="006A7884" w:rsidP="006A7884">
                      <w:pPr>
                        <w:rPr>
                          <w:rFonts w:ascii="Times New Roman" w:hAnsi="Times New Roman" w:cs="Times New Roman"/>
                          <w:sz w:val="16"/>
                          <w:szCs w:val="16"/>
                        </w:rPr>
                      </w:pPr>
                      <w:r w:rsidRPr="006A7884">
                        <w:rPr>
                          <w:rFonts w:ascii="Times New Roman" w:hAnsi="Times New Roman" w:cs="Times New Roman"/>
                          <w:sz w:val="16"/>
                          <w:szCs w:val="16"/>
                        </w:rPr>
                        <w:t>Figure 4: Scatter analysis of DEX-induced apoptosis in mouse thymocytes. Apoptotic cells are clearly distinguishable from normal thymocytes for the reduced cell size (low FSC) and enhanced density (high SSC).</w:t>
                      </w:r>
                      <w:r>
                        <w:rPr>
                          <w:rFonts w:ascii="Times New Roman" w:hAnsi="Times New Roman" w:cs="Times New Roman"/>
                          <w:sz w:val="16"/>
                          <w:szCs w:val="16"/>
                        </w:rPr>
                        <w:t xml:space="preserve">From </w:t>
                      </w:r>
                      <w:r w:rsidRPr="006A7884">
                        <w:rPr>
                          <w:rFonts w:ascii="Times New Roman" w:hAnsi="Times New Roman" w:cs="Times New Roman"/>
                          <w:sz w:val="16"/>
                          <w:szCs w:val="16"/>
                        </w:rPr>
                        <w:t>Nicoletti et al.</w:t>
                      </w:r>
                    </w:p>
                  </w:txbxContent>
                </v:textbox>
                <w10:wrap type="square"/>
              </v:shape>
            </w:pict>
          </mc:Fallback>
        </mc:AlternateContent>
      </w:r>
      <w:r w:rsidR="0038463D" w:rsidRPr="00537EE8">
        <w:rPr>
          <w:rFonts w:ascii="Times New Roman" w:hAnsi="Times New Roman" w:cs="Times New Roman"/>
          <w:sz w:val="24"/>
          <w:szCs w:val="24"/>
        </w:rPr>
        <w:t>In order to visualize the differences in apoptosis between the two different gastric cancer cell cultures, flow cytometry will be used.  When cells undergo apoptosis the morphological changes in the cell are able to be measured through flow cytometry by understanding the light scatter that occurs with the interaction of the particle</w:t>
      </w:r>
      <w:r w:rsidRPr="00537EE8">
        <w:rPr>
          <w:rFonts w:ascii="Times New Roman" w:hAnsi="Times New Roman" w:cs="Times New Roman"/>
          <w:sz w:val="24"/>
          <w:szCs w:val="24"/>
        </w:rPr>
        <w:t xml:space="preserve"> (Nicoletti et al.)</w:t>
      </w:r>
      <w:r w:rsidR="0038463D" w:rsidRPr="00537EE8">
        <w:rPr>
          <w:rFonts w:ascii="Times New Roman" w:hAnsi="Times New Roman" w:cs="Times New Roman"/>
          <w:sz w:val="24"/>
          <w:szCs w:val="24"/>
        </w:rPr>
        <w:t xml:space="preserve"> When performing flow cytometry the interaction of the particle and laser result in light scattering in both the forward (FSC) and lateral (SSC) direction. During apoptosis there is an initial increase in SSC coupled with a decrease in FSC followed by a decrease in both FSC and SSC during later stages of apoptosis</w:t>
      </w:r>
      <w:r w:rsidRPr="00537EE8">
        <w:rPr>
          <w:rFonts w:ascii="Times New Roman" w:hAnsi="Times New Roman" w:cs="Times New Roman"/>
          <w:sz w:val="24"/>
          <w:szCs w:val="24"/>
        </w:rPr>
        <w:t xml:space="preserve"> </w:t>
      </w:r>
      <w:r w:rsidRPr="00537EE8">
        <w:rPr>
          <w:rFonts w:ascii="Times New Roman" w:hAnsi="Times New Roman" w:cs="Times New Roman"/>
          <w:sz w:val="24"/>
          <w:szCs w:val="24"/>
        </w:rPr>
        <w:t>(Nicoletti et al.)</w:t>
      </w:r>
      <w:r w:rsidR="0038463D" w:rsidRPr="00537EE8">
        <w:rPr>
          <w:rFonts w:ascii="Times New Roman" w:hAnsi="Times New Roman" w:cs="Times New Roman"/>
          <w:sz w:val="24"/>
          <w:szCs w:val="24"/>
        </w:rPr>
        <w:t xml:space="preserve">. </w:t>
      </w:r>
      <w:r w:rsidR="006215E8" w:rsidRPr="00537EE8">
        <w:rPr>
          <w:rFonts w:ascii="Times New Roman" w:hAnsi="Times New Roman" w:cs="Times New Roman"/>
          <w:sz w:val="24"/>
          <w:szCs w:val="24"/>
        </w:rPr>
        <w:t xml:space="preserve">The difference in the light scatter patterns will allow us to distinguish between cells that are apoptotic and those that are not. Each plate of gastric cancer cells will need to be prepared in order to be placed inside the flow cytometer, in order to generate a graph of light scatter that will indicate whether apoptosis is occurring </w:t>
      </w:r>
      <w:r w:rsidR="00D76E12" w:rsidRPr="00537EE8">
        <w:rPr>
          <w:rFonts w:ascii="Times New Roman" w:hAnsi="Times New Roman" w:cs="Times New Roman"/>
          <w:sz w:val="24"/>
          <w:szCs w:val="24"/>
        </w:rPr>
        <w:t xml:space="preserve">or not based on FSC and SSC as described above. </w:t>
      </w:r>
    </w:p>
    <w:p w:rsidR="006A7884" w:rsidRPr="00537EE8" w:rsidRDefault="006A7884" w:rsidP="00C64AE1">
      <w:pPr>
        <w:spacing w:line="240" w:lineRule="auto"/>
        <w:rPr>
          <w:rFonts w:ascii="Times New Roman" w:hAnsi="Times New Roman" w:cs="Times New Roman"/>
          <w:sz w:val="24"/>
          <w:szCs w:val="24"/>
        </w:rPr>
      </w:pPr>
    </w:p>
    <w:p w:rsidR="00D566AF" w:rsidRPr="00537EE8" w:rsidRDefault="00D566AF" w:rsidP="00D566AF">
      <w:pPr>
        <w:rPr>
          <w:rFonts w:ascii="Times New Roman" w:hAnsi="Times New Roman" w:cs="Times New Roman"/>
          <w:sz w:val="24"/>
          <w:szCs w:val="24"/>
        </w:rPr>
      </w:pPr>
      <w:r w:rsidRPr="00537EE8">
        <w:rPr>
          <w:rFonts w:ascii="Times New Roman" w:hAnsi="Times New Roman" w:cs="Times New Roman"/>
          <w:b/>
          <w:sz w:val="24"/>
          <w:szCs w:val="24"/>
        </w:rPr>
        <w:t xml:space="preserve">III. Discussion </w:t>
      </w:r>
    </w:p>
    <w:p w:rsidR="00B36048" w:rsidRPr="00537EE8" w:rsidRDefault="00D566AF" w:rsidP="00D566AF">
      <w:pPr>
        <w:spacing w:line="240" w:lineRule="auto"/>
        <w:rPr>
          <w:rFonts w:ascii="Times New Roman" w:hAnsi="Times New Roman" w:cs="Times New Roman"/>
          <w:sz w:val="24"/>
          <w:szCs w:val="24"/>
        </w:rPr>
      </w:pPr>
      <w:r w:rsidRPr="00537EE8">
        <w:rPr>
          <w:rFonts w:ascii="Times New Roman" w:hAnsi="Times New Roman" w:cs="Times New Roman"/>
          <w:sz w:val="24"/>
          <w:szCs w:val="24"/>
        </w:rPr>
        <w:t>The ideal result of this experiment is that</w:t>
      </w:r>
      <w:r w:rsidR="00390B9D" w:rsidRPr="00537EE8">
        <w:rPr>
          <w:rFonts w:ascii="Times New Roman" w:hAnsi="Times New Roman" w:cs="Times New Roman"/>
          <w:sz w:val="24"/>
          <w:szCs w:val="24"/>
        </w:rPr>
        <w:t xml:space="preserve"> the</w:t>
      </w:r>
      <w:r w:rsidRPr="00537EE8">
        <w:rPr>
          <w:rFonts w:ascii="Times New Roman" w:hAnsi="Times New Roman" w:cs="Times New Roman"/>
          <w:sz w:val="24"/>
          <w:szCs w:val="24"/>
        </w:rPr>
        <w:t xml:space="preserve"> flow cytometer will produce a graph illustrating </w:t>
      </w:r>
      <w:r w:rsidRPr="00537EE8">
        <w:rPr>
          <w:rFonts w:ascii="Times New Roman" w:hAnsi="Times New Roman" w:cs="Times New Roman"/>
          <w:sz w:val="24"/>
          <w:szCs w:val="24"/>
        </w:rPr>
        <w:t>an initial increase in SSC coupled with a decrease in FSC followed by a decrease in b</w:t>
      </w:r>
      <w:r w:rsidRPr="00537EE8">
        <w:rPr>
          <w:rFonts w:ascii="Times New Roman" w:hAnsi="Times New Roman" w:cs="Times New Roman"/>
          <w:sz w:val="24"/>
          <w:szCs w:val="24"/>
        </w:rPr>
        <w:t xml:space="preserve">oth FSC and SSC. </w:t>
      </w:r>
      <w:r w:rsidR="00F25CA7" w:rsidRPr="00537EE8">
        <w:rPr>
          <w:rFonts w:ascii="Times New Roman" w:hAnsi="Times New Roman" w:cs="Times New Roman"/>
          <w:sz w:val="24"/>
          <w:szCs w:val="24"/>
        </w:rPr>
        <w:t xml:space="preserve">This indicates apoptosis is occurring and the desired result would be that the CagA-positive culture would show less and less apoptotic cells as time goes on. This would mean that the CagA gene contributes to the reduction in cell death that leads to gastric cancer. With this information, further studies need to be performed in order to better understand the CagA gene and it’s interactions with other genes that may contribute to gastric cancer as well as a way to inhibit the injection of CagA into gastric host cells by </w:t>
      </w:r>
      <w:r w:rsidR="00390B9D" w:rsidRPr="00537EE8">
        <w:rPr>
          <w:rFonts w:ascii="Times New Roman" w:hAnsi="Times New Roman" w:cs="Times New Roman"/>
          <w:i/>
          <w:sz w:val="24"/>
          <w:szCs w:val="24"/>
        </w:rPr>
        <w:t>H. pylori</w:t>
      </w:r>
      <w:r w:rsidR="00F25CA7" w:rsidRPr="00537EE8">
        <w:rPr>
          <w:rFonts w:ascii="Times New Roman" w:hAnsi="Times New Roman" w:cs="Times New Roman"/>
          <w:sz w:val="24"/>
          <w:szCs w:val="24"/>
        </w:rPr>
        <w:t xml:space="preserve"> due to its ability to be an oncoprotein. </w:t>
      </w:r>
    </w:p>
    <w:p w:rsidR="00F25CA7" w:rsidRPr="00537EE8" w:rsidRDefault="00F25CA7" w:rsidP="00D566AF">
      <w:pPr>
        <w:spacing w:line="240" w:lineRule="auto"/>
        <w:rPr>
          <w:rFonts w:ascii="Times New Roman" w:hAnsi="Times New Roman" w:cs="Times New Roman"/>
          <w:sz w:val="24"/>
          <w:szCs w:val="24"/>
        </w:rPr>
      </w:pPr>
      <w:r w:rsidRPr="00537EE8">
        <w:rPr>
          <w:rFonts w:ascii="Times New Roman" w:hAnsi="Times New Roman" w:cs="Times New Roman"/>
          <w:sz w:val="24"/>
          <w:szCs w:val="24"/>
        </w:rPr>
        <w:lastRenderedPageBreak/>
        <w:t xml:space="preserve">If the </w:t>
      </w:r>
      <w:r w:rsidR="00390B9D" w:rsidRPr="00537EE8">
        <w:rPr>
          <w:rFonts w:ascii="Times New Roman" w:hAnsi="Times New Roman" w:cs="Times New Roman"/>
          <w:sz w:val="24"/>
          <w:szCs w:val="24"/>
        </w:rPr>
        <w:t xml:space="preserve">graphs </w:t>
      </w:r>
      <w:r w:rsidRPr="00537EE8">
        <w:rPr>
          <w:rFonts w:ascii="Times New Roman" w:hAnsi="Times New Roman" w:cs="Times New Roman"/>
          <w:sz w:val="24"/>
          <w:szCs w:val="24"/>
        </w:rPr>
        <w:t xml:space="preserve">created from the use of flow cytometry do not exhibit a difference between the gastric cancer cells containing CagA-positive and CagA-negative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strains, then we can conclude that either CagA is not affecting apoptosis or that a mistake was made throughout the procedure preventing a difference from occurring or being visualized. In this case further studies would need to be performed in order to determine whether CagA has an impact on apoptosis. If a repeated trial of this experiment </w:t>
      </w:r>
      <w:r w:rsidR="00390B9D" w:rsidRPr="00537EE8">
        <w:rPr>
          <w:rFonts w:ascii="Times New Roman" w:hAnsi="Times New Roman" w:cs="Times New Roman"/>
          <w:sz w:val="24"/>
          <w:szCs w:val="24"/>
        </w:rPr>
        <w:t xml:space="preserve">or a similar experiment to test the effects of CagA on apoptosis </w:t>
      </w:r>
      <w:r w:rsidRPr="00537EE8">
        <w:rPr>
          <w:rFonts w:ascii="Times New Roman" w:hAnsi="Times New Roman" w:cs="Times New Roman"/>
          <w:sz w:val="24"/>
          <w:szCs w:val="24"/>
        </w:rPr>
        <w:t xml:space="preserve">still does not yield the desired results then different genes of the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as well as the interactions of genes need to be further examined to determine what genes in </w:t>
      </w:r>
      <w:r w:rsidR="00390B9D" w:rsidRPr="00537EE8">
        <w:rPr>
          <w:rFonts w:ascii="Times New Roman" w:hAnsi="Times New Roman" w:cs="Times New Roman"/>
          <w:i/>
          <w:sz w:val="24"/>
          <w:szCs w:val="24"/>
        </w:rPr>
        <w:t>H. pylori</w:t>
      </w:r>
      <w:r w:rsidRPr="00537EE8">
        <w:rPr>
          <w:rFonts w:ascii="Times New Roman" w:hAnsi="Times New Roman" w:cs="Times New Roman"/>
          <w:sz w:val="24"/>
          <w:szCs w:val="24"/>
        </w:rPr>
        <w:t xml:space="preserve"> may affect apoptosis in gastric cancer cells.</w:t>
      </w:r>
    </w:p>
    <w:p w:rsidR="00F25CA7" w:rsidRPr="00537EE8" w:rsidRDefault="00F25CA7" w:rsidP="00D566AF">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Some limitations of this experiment is that </w:t>
      </w:r>
      <w:r w:rsidR="006A7884" w:rsidRPr="00537EE8">
        <w:rPr>
          <w:rFonts w:ascii="Times New Roman" w:hAnsi="Times New Roman" w:cs="Times New Roman"/>
          <w:sz w:val="24"/>
          <w:szCs w:val="24"/>
        </w:rPr>
        <w:t xml:space="preserve">mutations during replication of H. pylori are not accounted for. This experiment assumes that the H.pylori used in both gastric cancer cell cultures will have identical genomes other than whether the H. pylori is CagA-negative or CagA-positive. This assumption of correct replication is also upheld for the gastric cancer cell lines as well as the replication of the CagA gene through PCR. </w:t>
      </w: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6A7884" w:rsidRPr="00537EE8" w:rsidRDefault="006A7884" w:rsidP="00390B9D">
      <w:pPr>
        <w:spacing w:line="240" w:lineRule="auto"/>
        <w:jc w:val="center"/>
        <w:rPr>
          <w:rFonts w:ascii="Times New Roman" w:hAnsi="Times New Roman" w:cs="Times New Roman"/>
          <w:b/>
          <w:sz w:val="24"/>
          <w:szCs w:val="24"/>
        </w:rPr>
      </w:pPr>
    </w:p>
    <w:p w:rsidR="00390B9D" w:rsidRPr="00537EE8" w:rsidRDefault="00390B9D" w:rsidP="00390B9D">
      <w:pPr>
        <w:spacing w:line="240" w:lineRule="auto"/>
        <w:jc w:val="center"/>
        <w:rPr>
          <w:rFonts w:ascii="Times New Roman" w:hAnsi="Times New Roman" w:cs="Times New Roman"/>
          <w:b/>
          <w:sz w:val="24"/>
          <w:szCs w:val="24"/>
        </w:rPr>
      </w:pPr>
      <w:r w:rsidRPr="00537EE8">
        <w:rPr>
          <w:rFonts w:ascii="Times New Roman" w:hAnsi="Times New Roman" w:cs="Times New Roman"/>
          <w:b/>
          <w:sz w:val="24"/>
          <w:szCs w:val="24"/>
        </w:rPr>
        <w:t>Reference</w:t>
      </w:r>
      <w:r w:rsidRPr="00537EE8">
        <w:rPr>
          <w:rFonts w:ascii="Times New Roman" w:hAnsi="Times New Roman" w:cs="Times New Roman"/>
          <w:b/>
          <w:sz w:val="24"/>
          <w:szCs w:val="24"/>
        </w:rPr>
        <w:t>s</w:t>
      </w:r>
    </w:p>
    <w:p w:rsidR="00390B9D"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American Cancer Society (2017). What are the Key Statistics About Gastric Cancer. </w:t>
      </w:r>
      <w:r w:rsidRPr="009E0106">
        <w:rPr>
          <w:rFonts w:ascii="Times New Roman" w:hAnsi="Times New Roman" w:cs="Times New Roman"/>
          <w:sz w:val="24"/>
          <w:szCs w:val="24"/>
        </w:rPr>
        <w:t>https://www.cancer.org/cancer/stomach-cancer/about/key-statistics.html</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Apoptosis (2016). Apoptosis definition. MedicineNet. </w:t>
      </w:r>
      <w:r w:rsidRPr="009E0106">
        <w:rPr>
          <w:rFonts w:ascii="Times New Roman" w:hAnsi="Times New Roman" w:cs="Times New Roman"/>
          <w:sz w:val="24"/>
          <w:szCs w:val="24"/>
        </w:rPr>
        <w:t>https://www.medicinenet.com/script/main/art.asp?articlekey=11287</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Gutschner, T., &amp; Diederichs, S. (2012). The hallmarks of cancer: A long non-coding RNA point of view. RNA Biology, 9(6), 703–719. </w:t>
      </w:r>
      <w:r w:rsidRPr="009E0106">
        <w:rPr>
          <w:rFonts w:ascii="Times New Roman" w:hAnsi="Times New Roman" w:cs="Times New Roman"/>
          <w:sz w:val="24"/>
          <w:szCs w:val="24"/>
        </w:rPr>
        <w:t>http://doi.org/10.4161/rna.20481</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Wroblewski, L. E., Peek, R. M., &amp; Wilson, K. T. (2010). Helicobacter pylori and Gastric Cancer: Factors That Modulate Disease Risk. Clinical Microbiology Reviews, 23(4), 713–739. </w:t>
      </w:r>
      <w:r w:rsidRPr="009E0106">
        <w:rPr>
          <w:rFonts w:ascii="Times New Roman" w:hAnsi="Times New Roman" w:cs="Times New Roman"/>
          <w:sz w:val="24"/>
          <w:szCs w:val="24"/>
        </w:rPr>
        <w:t>http://doi.org/10.1128/CMR.00011-10</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Hatakeyama, M. (2017). Structure and function of Helicobacter pylori CagA, the first-identified bacterial protein involved in human cancer. Proceedings of the Japan Academy. Series B, Physical and Biological Sciences, 93(4), 196–219. </w:t>
      </w:r>
      <w:r w:rsidRPr="009E0106">
        <w:rPr>
          <w:rFonts w:ascii="Times New Roman" w:hAnsi="Times New Roman" w:cs="Times New Roman"/>
          <w:sz w:val="24"/>
          <w:szCs w:val="24"/>
        </w:rPr>
        <w:t>http://doi.org/10.2183/pjab.93.013</w:t>
      </w:r>
    </w:p>
    <w:p w:rsidR="009E0106" w:rsidRDefault="009E0106" w:rsidP="00390B9D">
      <w:pPr>
        <w:spacing w:line="240" w:lineRule="auto"/>
        <w:rPr>
          <w:rFonts w:ascii="Times New Roman" w:hAnsi="Times New Roman" w:cs="Times New Roman"/>
          <w:sz w:val="24"/>
          <w:szCs w:val="24"/>
        </w:rPr>
      </w:pPr>
      <w:r w:rsidRPr="009E0106">
        <w:rPr>
          <w:rFonts w:ascii="Times New Roman" w:hAnsi="Times New Roman" w:cs="Times New Roman"/>
          <w:sz w:val="24"/>
          <w:szCs w:val="24"/>
        </w:rPr>
        <w:t>Moss, S. F. (1998). Helicobacter pylori and apoptosis. The Yale Journal of Biology and Medicine, 71(2), 53–61.</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Jones, K. R., Whitmire, J. M., &amp; Merrell, D. S. (2010). A Tale of Two Toxins: Helicobacter Pylori CagA and VacA Modulate Host Pathways that Impact Disease. Frontiers in Microbiology, 1, 115. </w:t>
      </w:r>
      <w:r w:rsidRPr="009E0106">
        <w:rPr>
          <w:rFonts w:ascii="Times New Roman" w:hAnsi="Times New Roman" w:cs="Times New Roman"/>
          <w:sz w:val="24"/>
          <w:szCs w:val="24"/>
        </w:rPr>
        <w:t>http://doi.org/10.3389/fmicb.2010.00115</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Churin, Y., Al-Ghoul, L., Kepp, O., Meyer, T. F., Birchmeier, W., &amp; Naumann, M. (2003). Helicobacter pylori CagA protein targets the c-Met receptor and enhances the motogenic response. The Journal of Cell Biology, 161(2), 249–255. </w:t>
      </w:r>
      <w:r w:rsidRPr="006E716A">
        <w:rPr>
          <w:rFonts w:ascii="Times New Roman" w:hAnsi="Times New Roman" w:cs="Times New Roman"/>
          <w:sz w:val="24"/>
          <w:szCs w:val="24"/>
        </w:rPr>
        <w:t>http://doi.org/10.1083/jcb.200208039</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Ohnishi, N., Yuasa, H., Tanaka, S., Sawa, H., Miura, M., Matsui, A., … Hatakeyama, M. (2008). Transgenic expression of Helicobacter pylori CagA induces gastrointestinal and hematopoietic neoplasms in mouse. Proceedings of the National Academy of Sciences of the United States of America, 105(3), 1003–1008. http://doi.org/10.1073/pnas.0711183105</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ATCC (2016). About ATCC. </w:t>
      </w:r>
      <w:r w:rsidRPr="006E716A">
        <w:rPr>
          <w:rFonts w:ascii="Times New Roman" w:hAnsi="Times New Roman" w:cs="Times New Roman"/>
          <w:sz w:val="24"/>
          <w:szCs w:val="24"/>
        </w:rPr>
        <w:t>https://www.atcc.org/Products/All/TCP-1008</w:t>
      </w:r>
    </w:p>
    <w:p w:rsidR="00F62F34" w:rsidRPr="00537EE8" w:rsidRDefault="00F62F34"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Ma, H., Tian, Y., &amp; Yu, X. (2017). Targeting Smoothened Sensitizes Gastric Cancer to Chemotherapy in Experimental Models. Medical Science Monitor : International Medical Journal of Experimental and Clinical Research, 23, 1493–1500. </w:t>
      </w:r>
      <w:r w:rsidR="00537EE8" w:rsidRPr="006E716A">
        <w:rPr>
          <w:rFonts w:ascii="Times New Roman" w:hAnsi="Times New Roman" w:cs="Times New Roman"/>
          <w:sz w:val="24"/>
          <w:szCs w:val="24"/>
        </w:rPr>
        <w:t>http://doi.org/10.12659/MSM.903012</w:t>
      </w:r>
    </w:p>
    <w:p w:rsidR="00537EE8" w:rsidRPr="00537EE8" w:rsidRDefault="00537EE8" w:rsidP="00390B9D">
      <w:pPr>
        <w:spacing w:line="240" w:lineRule="auto"/>
        <w:rPr>
          <w:rFonts w:ascii="Times New Roman" w:hAnsi="Times New Roman" w:cs="Times New Roman"/>
          <w:sz w:val="24"/>
          <w:szCs w:val="24"/>
        </w:rPr>
      </w:pPr>
      <w:r w:rsidRPr="00537EE8">
        <w:rPr>
          <w:rFonts w:ascii="Times New Roman" w:hAnsi="Times New Roman" w:cs="Times New Roman"/>
          <w:sz w:val="24"/>
          <w:szCs w:val="24"/>
        </w:rPr>
        <w:t xml:space="preserve">Blanchard, T. G., &amp; Nedrud, J. G. (2006). Laboratory Maintenance of Helicobacter Species. Current Protocols in Microbiology, CHAPTER, Unit8B.1. </w:t>
      </w:r>
      <w:r w:rsidRPr="006E716A">
        <w:rPr>
          <w:rFonts w:ascii="Times New Roman" w:hAnsi="Times New Roman" w:cs="Times New Roman"/>
          <w:sz w:val="24"/>
          <w:szCs w:val="24"/>
        </w:rPr>
        <w:t>http://doi.org/10.1002/9780471729259.mc08b01s00</w:t>
      </w:r>
    </w:p>
    <w:p w:rsidR="00537EE8" w:rsidRDefault="00537EE8" w:rsidP="00537EE8">
      <w:pPr>
        <w:spacing w:line="240" w:lineRule="auto"/>
        <w:rPr>
          <w:rFonts w:ascii="Times New Roman" w:hAnsi="Times New Roman" w:cs="Times New Roman"/>
          <w:color w:val="000000"/>
          <w:sz w:val="26"/>
          <w:szCs w:val="26"/>
          <w:shd w:val="clear" w:color="auto" w:fill="FFFFFF"/>
        </w:rPr>
      </w:pPr>
      <w:r w:rsidRPr="00537EE8">
        <w:rPr>
          <w:rFonts w:ascii="Times New Roman" w:hAnsi="Times New Roman" w:cs="Times New Roman"/>
          <w:color w:val="000000"/>
          <w:sz w:val="26"/>
          <w:szCs w:val="26"/>
          <w:shd w:val="clear" w:color="auto" w:fill="FFFFFF"/>
        </w:rPr>
        <w:lastRenderedPageBreak/>
        <w:t xml:space="preserve">Vallejo-Flores, G., Torres, J., Sandoval-Montes, C., Arévalo-Romero, H., Meza, I., Camorlinga-Ponce, M., … Fuentes-Pananá, E. M. (2015). Helicobacter pylori CagA Suppresses Apoptosis through Activation of AKT in a Nontransformed Epithelial Cell Model of Glandular Acini Formation. BioMed Research International, 2015, 761501. http://doi.org/10.1155/2015/761501 </w:t>
      </w:r>
    </w:p>
    <w:p w:rsidR="00537EE8" w:rsidRPr="00537EE8" w:rsidRDefault="00537EE8" w:rsidP="00537EE8">
      <w:pPr>
        <w:spacing w:line="240" w:lineRule="auto"/>
        <w:rPr>
          <w:rFonts w:ascii="Times New Roman" w:hAnsi="Times New Roman" w:cs="Times New Roman"/>
          <w:color w:val="000000"/>
          <w:sz w:val="26"/>
          <w:szCs w:val="26"/>
          <w:shd w:val="clear" w:color="auto" w:fill="FFFFFF"/>
        </w:rPr>
      </w:pPr>
      <w:r w:rsidRPr="00537EE8">
        <w:rPr>
          <w:rFonts w:ascii="Times New Roman" w:hAnsi="Times New Roman" w:cs="Times New Roman"/>
          <w:color w:val="000000"/>
          <w:sz w:val="26"/>
          <w:szCs w:val="26"/>
          <w:shd w:val="clear" w:color="auto" w:fill="FFFFFF"/>
        </w:rPr>
        <w:t xml:space="preserve">Nicoletti, I., Mannucci, R., Migliorati, G., Riccardi, C. COMMON METHODS FOR MEASURING APOPTOTIC CELL DEATH BY FLOW CYTOMETRY. </w:t>
      </w:r>
      <w:r w:rsidRPr="00537EE8">
        <w:rPr>
          <w:rFonts w:ascii="Times New Roman" w:hAnsi="Times New Roman" w:cs="Times New Roman"/>
          <w:sz w:val="24"/>
          <w:szCs w:val="24"/>
        </w:rPr>
        <w:t>http://www.cyto.purdue.edu/cdrom</w:t>
      </w:r>
      <w:bookmarkStart w:id="0" w:name="_GoBack"/>
      <w:bookmarkEnd w:id="0"/>
      <w:r w:rsidRPr="00537EE8">
        <w:rPr>
          <w:rFonts w:ascii="Times New Roman" w:hAnsi="Times New Roman" w:cs="Times New Roman"/>
          <w:sz w:val="24"/>
          <w:szCs w:val="24"/>
        </w:rPr>
        <w:t>s/cyto3/16/data/page3.htm</w:t>
      </w:r>
    </w:p>
    <w:sectPr w:rsidR="00537EE8" w:rsidRPr="00537EE8" w:rsidSect="00723C26">
      <w:headerReference w:type="default" r:id="rId11"/>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568" w:rsidRDefault="007F1568" w:rsidP="00C64AE1">
      <w:pPr>
        <w:spacing w:after="0" w:line="240" w:lineRule="auto"/>
      </w:pPr>
      <w:r>
        <w:separator/>
      </w:r>
    </w:p>
  </w:endnote>
  <w:endnote w:type="continuationSeparator" w:id="0">
    <w:p w:rsidR="007F1568" w:rsidRDefault="007F1568" w:rsidP="00C64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568" w:rsidRDefault="007F1568" w:rsidP="00C64AE1">
      <w:pPr>
        <w:spacing w:after="0" w:line="240" w:lineRule="auto"/>
      </w:pPr>
      <w:r>
        <w:separator/>
      </w:r>
    </w:p>
  </w:footnote>
  <w:footnote w:type="continuationSeparator" w:id="0">
    <w:p w:rsidR="007F1568" w:rsidRDefault="007F1568" w:rsidP="00C64A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151" w:rsidRDefault="00432151" w:rsidP="00C64AE1">
    <w:pPr>
      <w:pStyle w:val="Header"/>
      <w:jc w:val="right"/>
    </w:pPr>
    <w:r>
      <w:t>(25 November 2017)</w:t>
    </w:r>
  </w:p>
  <w:p w:rsidR="00432151" w:rsidRDefault="00432151" w:rsidP="00C64AE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5F9"/>
    <w:rsid w:val="00046885"/>
    <w:rsid w:val="000E21BA"/>
    <w:rsid w:val="001409C5"/>
    <w:rsid w:val="00150586"/>
    <w:rsid w:val="00161AFA"/>
    <w:rsid w:val="001B55F9"/>
    <w:rsid w:val="001C6AD1"/>
    <w:rsid w:val="001D1141"/>
    <w:rsid w:val="0027621F"/>
    <w:rsid w:val="0038463D"/>
    <w:rsid w:val="00390B9D"/>
    <w:rsid w:val="003B126D"/>
    <w:rsid w:val="00432151"/>
    <w:rsid w:val="0044562C"/>
    <w:rsid w:val="004E1890"/>
    <w:rsid w:val="00537EE8"/>
    <w:rsid w:val="00563A08"/>
    <w:rsid w:val="005D3833"/>
    <w:rsid w:val="005E29B3"/>
    <w:rsid w:val="006215E8"/>
    <w:rsid w:val="00696D4D"/>
    <w:rsid w:val="006A7884"/>
    <w:rsid w:val="006E716A"/>
    <w:rsid w:val="00723C26"/>
    <w:rsid w:val="007F1568"/>
    <w:rsid w:val="008B4597"/>
    <w:rsid w:val="00904B91"/>
    <w:rsid w:val="0097016F"/>
    <w:rsid w:val="009E0106"/>
    <w:rsid w:val="00A265AE"/>
    <w:rsid w:val="00AA2CF3"/>
    <w:rsid w:val="00AB5301"/>
    <w:rsid w:val="00AC2109"/>
    <w:rsid w:val="00B36048"/>
    <w:rsid w:val="00C04DFA"/>
    <w:rsid w:val="00C15A74"/>
    <w:rsid w:val="00C3284A"/>
    <w:rsid w:val="00C62074"/>
    <w:rsid w:val="00C64AE1"/>
    <w:rsid w:val="00CB1BB5"/>
    <w:rsid w:val="00D175B0"/>
    <w:rsid w:val="00D32508"/>
    <w:rsid w:val="00D36996"/>
    <w:rsid w:val="00D376C8"/>
    <w:rsid w:val="00D55A88"/>
    <w:rsid w:val="00D55E33"/>
    <w:rsid w:val="00D566AF"/>
    <w:rsid w:val="00D76E12"/>
    <w:rsid w:val="00DF0F8D"/>
    <w:rsid w:val="00E02AFB"/>
    <w:rsid w:val="00EB44B8"/>
    <w:rsid w:val="00F25CA7"/>
    <w:rsid w:val="00F62F34"/>
    <w:rsid w:val="00FF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17B1F-FA96-4467-95B5-3B59B6B3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AE1"/>
  </w:style>
  <w:style w:type="paragraph" w:styleId="Footer">
    <w:name w:val="footer"/>
    <w:basedOn w:val="Normal"/>
    <w:link w:val="FooterChar"/>
    <w:uiPriority w:val="99"/>
    <w:unhideWhenUsed/>
    <w:rsid w:val="00C64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AE1"/>
  </w:style>
  <w:style w:type="paragraph" w:styleId="FootnoteText">
    <w:name w:val="footnote text"/>
    <w:basedOn w:val="Normal"/>
    <w:link w:val="FootnoteTextChar"/>
    <w:uiPriority w:val="99"/>
    <w:semiHidden/>
    <w:unhideWhenUsed/>
    <w:rsid w:val="004E18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890"/>
    <w:rPr>
      <w:sz w:val="20"/>
      <w:szCs w:val="20"/>
    </w:rPr>
  </w:style>
  <w:style w:type="character" w:styleId="FootnoteReference">
    <w:name w:val="footnote reference"/>
    <w:basedOn w:val="DefaultParagraphFont"/>
    <w:uiPriority w:val="99"/>
    <w:semiHidden/>
    <w:unhideWhenUsed/>
    <w:rsid w:val="004E1890"/>
    <w:rPr>
      <w:vertAlign w:val="superscript"/>
    </w:rPr>
  </w:style>
  <w:style w:type="character" w:styleId="Emphasis">
    <w:name w:val="Emphasis"/>
    <w:basedOn w:val="DefaultParagraphFont"/>
    <w:uiPriority w:val="20"/>
    <w:qFormat/>
    <w:rsid w:val="00FF5942"/>
    <w:rPr>
      <w:i/>
      <w:iCs/>
    </w:rPr>
  </w:style>
  <w:style w:type="character" w:styleId="Hyperlink">
    <w:name w:val="Hyperlink"/>
    <w:basedOn w:val="DefaultParagraphFont"/>
    <w:uiPriority w:val="99"/>
    <w:unhideWhenUsed/>
    <w:rsid w:val="00F62F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4BBFE-E7B2-4512-9291-8684A42E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7</Pages>
  <Words>2285</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Angmchlk</dc:creator>
  <cp:keywords/>
  <dc:description/>
  <cp:lastModifiedBy>Angmchlk</cp:lastModifiedBy>
  <cp:revision>4</cp:revision>
  <dcterms:created xsi:type="dcterms:W3CDTF">2017-11-24T18:14:00Z</dcterms:created>
  <dcterms:modified xsi:type="dcterms:W3CDTF">2017-11-26T09:03:00Z</dcterms:modified>
</cp:coreProperties>
</file>