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A6E" w:rsidRPr="000C7DEA" w:rsidRDefault="00217984" w:rsidP="00CE75B7">
      <w:pPr>
        <w:pStyle w:val="ListParagraph"/>
        <w:numPr>
          <w:ilvl w:val="0"/>
          <w:numId w:val="3"/>
        </w:numPr>
        <w:rPr>
          <w:rFonts w:ascii="Arial" w:hAnsi="Arial" w:cs="Arial"/>
          <w:b/>
          <w:sz w:val="24"/>
          <w:szCs w:val="24"/>
        </w:rPr>
      </w:pPr>
      <w:r w:rsidRPr="000C7DEA">
        <w:rPr>
          <w:rFonts w:ascii="Arial" w:hAnsi="Arial" w:cs="Arial"/>
          <w:b/>
          <w:sz w:val="24"/>
          <w:szCs w:val="24"/>
        </w:rPr>
        <w:t>Introduction</w:t>
      </w:r>
    </w:p>
    <w:p w:rsidR="00725288" w:rsidRPr="000C7DEA" w:rsidRDefault="000D4505" w:rsidP="00C06923">
      <w:pPr>
        <w:rPr>
          <w:rFonts w:ascii="Arial" w:hAnsi="Arial" w:cs="Arial"/>
          <w:sz w:val="24"/>
          <w:szCs w:val="24"/>
        </w:rPr>
      </w:pPr>
      <w:r w:rsidRPr="000C7DEA">
        <w:rPr>
          <w:rFonts w:ascii="Arial" w:hAnsi="Arial" w:cs="Arial"/>
          <w:sz w:val="24"/>
          <w:szCs w:val="24"/>
        </w:rPr>
        <w:t>Endoplasmic Reticulum Aminopeptidase 2, ERAP2, is</w:t>
      </w:r>
      <w:r w:rsidR="005F17A6" w:rsidRPr="000C7DEA">
        <w:rPr>
          <w:rFonts w:ascii="Arial" w:hAnsi="Arial" w:cs="Arial"/>
          <w:sz w:val="24"/>
          <w:szCs w:val="24"/>
        </w:rPr>
        <w:t xml:space="preserve"> located on chromosome 5q15 (Andres et al, 2010</w:t>
      </w:r>
      <w:r w:rsidRPr="000C7DEA">
        <w:rPr>
          <w:rFonts w:ascii="Arial" w:hAnsi="Arial" w:cs="Arial"/>
          <w:sz w:val="24"/>
          <w:szCs w:val="24"/>
        </w:rPr>
        <w:t>). ERAP2 is responsible f</w:t>
      </w:r>
      <w:r w:rsidR="00664DD8" w:rsidRPr="000C7DEA">
        <w:rPr>
          <w:rFonts w:ascii="Arial" w:hAnsi="Arial" w:cs="Arial"/>
          <w:sz w:val="24"/>
          <w:szCs w:val="24"/>
        </w:rPr>
        <w:t>or peptide trimming and functio</w:t>
      </w:r>
      <w:r w:rsidR="00C32917" w:rsidRPr="000C7DEA">
        <w:rPr>
          <w:rFonts w:ascii="Arial" w:hAnsi="Arial" w:cs="Arial"/>
          <w:sz w:val="24"/>
          <w:szCs w:val="24"/>
        </w:rPr>
        <w:t>ns in N-terminal trimming</w:t>
      </w:r>
      <w:r w:rsidR="00664DD8" w:rsidRPr="000C7DEA">
        <w:rPr>
          <w:rFonts w:ascii="Arial" w:hAnsi="Arial" w:cs="Arial"/>
          <w:sz w:val="24"/>
          <w:szCs w:val="24"/>
        </w:rPr>
        <w:t xml:space="preserve">. </w:t>
      </w:r>
      <w:r w:rsidR="00CB506F">
        <w:rPr>
          <w:rFonts w:ascii="Arial" w:hAnsi="Arial" w:cs="Arial"/>
          <w:sz w:val="24"/>
          <w:szCs w:val="24"/>
        </w:rPr>
        <w:t xml:space="preserve">ERAP2 is responsible </w:t>
      </w:r>
      <w:r w:rsidR="00D62550" w:rsidRPr="000C7DEA">
        <w:rPr>
          <w:rFonts w:ascii="Arial" w:hAnsi="Arial" w:cs="Arial"/>
          <w:sz w:val="24"/>
          <w:szCs w:val="24"/>
        </w:rPr>
        <w:t>for trimming HLA class I-binding peptides, which makes it an ideal protein to help measure immune responses of specific cells (Saveanu et al</w:t>
      </w:r>
      <w:r w:rsidR="00007D31" w:rsidRPr="000C7DEA">
        <w:rPr>
          <w:rFonts w:ascii="Arial" w:hAnsi="Arial" w:cs="Arial"/>
          <w:sz w:val="24"/>
          <w:szCs w:val="24"/>
        </w:rPr>
        <w:t>,</w:t>
      </w:r>
      <w:r w:rsidR="00D62550" w:rsidRPr="000C7DEA">
        <w:rPr>
          <w:rFonts w:ascii="Arial" w:hAnsi="Arial" w:cs="Arial"/>
          <w:sz w:val="24"/>
          <w:szCs w:val="24"/>
        </w:rPr>
        <w:t xml:space="preserve"> 2005). </w:t>
      </w:r>
      <w:r w:rsidR="00664DD8" w:rsidRPr="000C7DEA">
        <w:rPr>
          <w:rFonts w:ascii="Arial" w:hAnsi="Arial" w:cs="Arial"/>
          <w:sz w:val="24"/>
          <w:szCs w:val="24"/>
        </w:rPr>
        <w:t xml:space="preserve">The ERAP2 protein </w:t>
      </w:r>
      <w:r w:rsidR="005F17A6" w:rsidRPr="000C7DEA">
        <w:rPr>
          <w:rFonts w:ascii="Arial" w:hAnsi="Arial" w:cs="Arial"/>
          <w:sz w:val="24"/>
          <w:szCs w:val="24"/>
        </w:rPr>
        <w:t>is encoded by the ERAP2 gene. This has not been proven yet, but</w:t>
      </w:r>
      <w:r w:rsidR="00664DD8" w:rsidRPr="000C7DEA">
        <w:rPr>
          <w:rFonts w:ascii="Arial" w:hAnsi="Arial" w:cs="Arial"/>
          <w:sz w:val="24"/>
          <w:szCs w:val="24"/>
        </w:rPr>
        <w:t xml:space="preserve"> not having the ERAP2 protein present can lead cancer to grow (Lee</w:t>
      </w:r>
      <w:r w:rsidR="00C32917" w:rsidRPr="000C7DEA">
        <w:rPr>
          <w:rFonts w:ascii="Arial" w:hAnsi="Arial" w:cs="Arial"/>
          <w:sz w:val="24"/>
          <w:szCs w:val="24"/>
        </w:rPr>
        <w:t>, 2017</w:t>
      </w:r>
      <w:r w:rsidR="00664DD8" w:rsidRPr="000C7DEA">
        <w:rPr>
          <w:rFonts w:ascii="Arial" w:hAnsi="Arial" w:cs="Arial"/>
          <w:sz w:val="24"/>
          <w:szCs w:val="24"/>
        </w:rPr>
        <w:t>).</w:t>
      </w:r>
      <w:r w:rsidR="00C32917" w:rsidRPr="000C7DEA">
        <w:rPr>
          <w:rFonts w:ascii="Arial" w:hAnsi="Arial" w:cs="Arial"/>
          <w:sz w:val="24"/>
          <w:szCs w:val="24"/>
        </w:rPr>
        <w:t xml:space="preserve"> </w:t>
      </w:r>
      <w:r w:rsidR="00D62550" w:rsidRPr="000C7DEA">
        <w:rPr>
          <w:rFonts w:ascii="Arial" w:hAnsi="Arial" w:cs="Arial"/>
          <w:sz w:val="24"/>
          <w:szCs w:val="24"/>
        </w:rPr>
        <w:t xml:space="preserve"> </w:t>
      </w:r>
      <w:r w:rsidR="00247E51" w:rsidRPr="000C7DEA">
        <w:rPr>
          <w:rFonts w:ascii="Arial" w:hAnsi="Arial" w:cs="Arial"/>
          <w:sz w:val="24"/>
          <w:szCs w:val="24"/>
        </w:rPr>
        <w:t xml:space="preserve">To induce the proper immune response it is very important to have this peptide processing components: a </w:t>
      </w:r>
      <w:r w:rsidR="00007D31" w:rsidRPr="000C7DEA">
        <w:rPr>
          <w:rFonts w:ascii="Arial" w:hAnsi="Arial" w:cs="Arial"/>
          <w:sz w:val="24"/>
          <w:szCs w:val="24"/>
        </w:rPr>
        <w:t xml:space="preserve">peptide transporter (TAP), and ERAP2 trimming HLA class I proteins in most cells (Saveanu et al, 2005). </w:t>
      </w:r>
      <w:r w:rsidR="00AB4B88" w:rsidRPr="000C7DEA">
        <w:rPr>
          <w:rFonts w:ascii="Arial" w:hAnsi="Arial" w:cs="Arial"/>
          <w:sz w:val="24"/>
          <w:szCs w:val="24"/>
        </w:rPr>
        <w:t xml:space="preserve">The </w:t>
      </w:r>
      <w:r w:rsidR="00967A6B" w:rsidRPr="000C7DEA">
        <w:rPr>
          <w:rFonts w:ascii="Arial" w:hAnsi="Arial" w:cs="Arial"/>
          <w:sz w:val="24"/>
          <w:szCs w:val="24"/>
        </w:rPr>
        <w:t>ERAP2</w:t>
      </w:r>
      <w:r w:rsidR="00AB4B88" w:rsidRPr="000C7DEA">
        <w:rPr>
          <w:rFonts w:ascii="Arial" w:hAnsi="Arial" w:cs="Arial"/>
          <w:sz w:val="24"/>
          <w:szCs w:val="24"/>
        </w:rPr>
        <w:t xml:space="preserve"> gene</w:t>
      </w:r>
      <w:r w:rsidR="00967A6B" w:rsidRPr="000C7DEA">
        <w:rPr>
          <w:rFonts w:ascii="Arial" w:hAnsi="Arial" w:cs="Arial"/>
          <w:sz w:val="24"/>
          <w:szCs w:val="24"/>
        </w:rPr>
        <w:t xml:space="preserve"> has two isoforms, ERAP2-K and ERAP2-N</w:t>
      </w:r>
      <w:r w:rsidR="00B35E46" w:rsidRPr="000C7DEA">
        <w:rPr>
          <w:rFonts w:ascii="Arial" w:hAnsi="Arial" w:cs="Arial"/>
          <w:sz w:val="24"/>
          <w:szCs w:val="24"/>
        </w:rPr>
        <w:t>. In most</w:t>
      </w:r>
      <w:r w:rsidR="001C7A08" w:rsidRPr="000C7DEA">
        <w:rPr>
          <w:rFonts w:ascii="Arial" w:hAnsi="Arial" w:cs="Arial"/>
          <w:sz w:val="24"/>
          <w:szCs w:val="24"/>
        </w:rPr>
        <w:t xml:space="preserve"> cell</w:t>
      </w:r>
      <w:r w:rsidR="00B35E46" w:rsidRPr="000C7DEA">
        <w:rPr>
          <w:rFonts w:ascii="Arial" w:hAnsi="Arial" w:cs="Arial"/>
          <w:sz w:val="24"/>
          <w:szCs w:val="24"/>
        </w:rPr>
        <w:t>s</w:t>
      </w:r>
      <w:r w:rsidR="001C7A08" w:rsidRPr="000C7DEA">
        <w:rPr>
          <w:rFonts w:ascii="Arial" w:hAnsi="Arial" w:cs="Arial"/>
          <w:sz w:val="24"/>
          <w:szCs w:val="24"/>
        </w:rPr>
        <w:t xml:space="preserve">, ERAP2-K and ERAP-N </w:t>
      </w:r>
      <w:r w:rsidR="00B35E46" w:rsidRPr="000C7DEA">
        <w:rPr>
          <w:rFonts w:ascii="Arial" w:hAnsi="Arial" w:cs="Arial"/>
          <w:sz w:val="24"/>
          <w:szCs w:val="24"/>
        </w:rPr>
        <w:t>are present but majority of ERAP2 expresses the K isoform.</w:t>
      </w:r>
    </w:p>
    <w:p w:rsidR="00B30978" w:rsidRPr="000C7DEA" w:rsidRDefault="00C017BA" w:rsidP="00C06923">
      <w:pPr>
        <w:rPr>
          <w:rFonts w:ascii="Arial" w:hAnsi="Arial" w:cs="Arial"/>
          <w:sz w:val="24"/>
          <w:szCs w:val="24"/>
        </w:rPr>
      </w:pPr>
      <w:r w:rsidRPr="000C7DEA">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2560955</wp:posOffset>
            </wp:positionH>
            <wp:positionV relativeFrom="paragraph">
              <wp:posOffset>603885</wp:posOffset>
            </wp:positionV>
            <wp:extent cx="3507740" cy="1557020"/>
            <wp:effectExtent l="19050" t="0" r="0" b="0"/>
            <wp:wrapThrough wrapText="bothSides">
              <wp:wrapPolygon edited="0">
                <wp:start x="-117" y="0"/>
                <wp:lineTo x="-117" y="21406"/>
                <wp:lineTo x="21584" y="21406"/>
                <wp:lineTo x="21584" y="0"/>
                <wp:lineTo x="-117"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42730" t="50037" r="35547" b="34598"/>
                    <a:stretch>
                      <a:fillRect/>
                    </a:stretch>
                  </pic:blipFill>
                  <pic:spPr bwMode="auto">
                    <a:xfrm>
                      <a:off x="0" y="0"/>
                      <a:ext cx="3507740" cy="1557020"/>
                    </a:xfrm>
                    <a:prstGeom prst="rect">
                      <a:avLst/>
                    </a:prstGeom>
                    <a:noFill/>
                    <a:ln w="9525">
                      <a:noFill/>
                      <a:miter lim="800000"/>
                      <a:headEnd/>
                      <a:tailEnd/>
                    </a:ln>
                  </pic:spPr>
                </pic:pic>
              </a:graphicData>
            </a:graphic>
          </wp:anchor>
        </w:drawing>
      </w:r>
      <w:r w:rsidR="00725288" w:rsidRPr="000C7DEA">
        <w:rPr>
          <w:rFonts w:ascii="Arial" w:hAnsi="Arial" w:cs="Arial"/>
          <w:sz w:val="24"/>
          <w:szCs w:val="24"/>
        </w:rPr>
        <w:t>Mel</w:t>
      </w:r>
      <w:r w:rsidR="008104FA" w:rsidRPr="000C7DEA">
        <w:rPr>
          <w:rFonts w:ascii="Arial" w:hAnsi="Arial" w:cs="Arial"/>
          <w:sz w:val="24"/>
          <w:szCs w:val="24"/>
        </w:rPr>
        <w:t xml:space="preserve">anoma is a type of skin cancer and kills 10,130 people annually. Most cell lines </w:t>
      </w:r>
      <w:r w:rsidR="00DF671D" w:rsidRPr="000C7DEA">
        <w:rPr>
          <w:rFonts w:ascii="Arial" w:hAnsi="Arial" w:cs="Arial"/>
          <w:sz w:val="24"/>
          <w:szCs w:val="24"/>
        </w:rPr>
        <w:t xml:space="preserve">have both the K and N isoform of ERAP2 but only ERAP2-K is expressed. The N isoform of </w:t>
      </w:r>
      <w:r w:rsidR="005F17A6" w:rsidRPr="000C7DEA">
        <w:rPr>
          <w:rFonts w:ascii="Arial" w:hAnsi="Arial" w:cs="Arial"/>
          <w:sz w:val="24"/>
          <w:szCs w:val="24"/>
        </w:rPr>
        <w:t>ERAP2 is genetically present but the protein cannot be expressed</w:t>
      </w:r>
      <w:r w:rsidR="00DF671D" w:rsidRPr="000C7DEA">
        <w:rPr>
          <w:rFonts w:ascii="Arial" w:hAnsi="Arial" w:cs="Arial"/>
          <w:sz w:val="24"/>
          <w:szCs w:val="24"/>
        </w:rPr>
        <w:t>.</w:t>
      </w:r>
      <w:r w:rsidR="00374181" w:rsidRPr="000C7DEA">
        <w:rPr>
          <w:rFonts w:ascii="Arial" w:hAnsi="Arial" w:cs="Arial"/>
          <w:sz w:val="24"/>
          <w:szCs w:val="24"/>
        </w:rPr>
        <w:t xml:space="preserve"> In figure 1, it shows melanoma </w:t>
      </w:r>
      <w:r w:rsidR="00B30978" w:rsidRPr="000C7DEA">
        <w:rPr>
          <w:rFonts w:ascii="Arial" w:hAnsi="Arial" w:cs="Arial"/>
          <w:sz w:val="24"/>
          <w:szCs w:val="24"/>
        </w:rPr>
        <w:t xml:space="preserve">human </w:t>
      </w:r>
      <w:r w:rsidR="00374181" w:rsidRPr="000C7DEA">
        <w:rPr>
          <w:rFonts w:ascii="Arial" w:hAnsi="Arial" w:cs="Arial"/>
          <w:sz w:val="24"/>
          <w:szCs w:val="24"/>
        </w:rPr>
        <w:t>cell line</w:t>
      </w:r>
      <w:r w:rsidR="00DF671D" w:rsidRPr="000C7DEA">
        <w:rPr>
          <w:rFonts w:ascii="Arial" w:hAnsi="Arial" w:cs="Arial"/>
          <w:sz w:val="24"/>
          <w:szCs w:val="24"/>
        </w:rPr>
        <w:t xml:space="preserve"> MRN-1</w:t>
      </w:r>
      <w:r w:rsidR="00CB506F">
        <w:rPr>
          <w:rFonts w:ascii="Arial" w:hAnsi="Arial" w:cs="Arial"/>
          <w:sz w:val="24"/>
          <w:szCs w:val="24"/>
        </w:rPr>
        <w:t xml:space="preserve"> </w:t>
      </w:r>
      <w:r w:rsidR="00DF671D" w:rsidRPr="000C7DEA">
        <w:rPr>
          <w:rFonts w:ascii="Arial" w:hAnsi="Arial" w:cs="Arial"/>
          <w:sz w:val="24"/>
          <w:szCs w:val="24"/>
        </w:rPr>
        <w:t xml:space="preserve">expresses low amounts of </w:t>
      </w:r>
      <w:r w:rsidR="00374181" w:rsidRPr="000C7DEA">
        <w:rPr>
          <w:rFonts w:ascii="Arial" w:hAnsi="Arial" w:cs="Arial"/>
          <w:sz w:val="24"/>
          <w:szCs w:val="24"/>
        </w:rPr>
        <w:t xml:space="preserve">ERAP2 </w:t>
      </w:r>
      <w:r w:rsidR="00DF671D" w:rsidRPr="000C7DEA">
        <w:rPr>
          <w:rFonts w:ascii="Arial" w:hAnsi="Arial" w:cs="Arial"/>
          <w:sz w:val="24"/>
          <w:szCs w:val="24"/>
        </w:rPr>
        <w:t xml:space="preserve">(Fruci et al, 2006). </w:t>
      </w:r>
    </w:p>
    <w:p w:rsidR="00AA0263" w:rsidRPr="000C7DEA" w:rsidRDefault="00C017BA" w:rsidP="00C06923">
      <w:pPr>
        <w:rPr>
          <w:rFonts w:ascii="Arial" w:hAnsi="Arial" w:cs="Arial"/>
          <w:sz w:val="24"/>
          <w:szCs w:val="24"/>
        </w:rPr>
      </w:pPr>
      <w:r w:rsidRPr="000C7DEA">
        <w:rPr>
          <w:rFonts w:ascii="Arial" w:hAnsi="Arial" w:cs="Arial"/>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250.9pt;margin-top:90.35pt;width:186.35pt;height:29.75pt;z-index:251660288;mso-width-percent:400;mso-width-percent:400;mso-width-relative:margin;mso-height-relative:margin">
            <v:textbox style="mso-next-textbox:#_x0000_s1026">
              <w:txbxContent>
                <w:p w:rsidR="00B30978" w:rsidRPr="00AA0263" w:rsidRDefault="00B30978">
                  <w:pPr>
                    <w:rPr>
                      <w:sz w:val="16"/>
                      <w:szCs w:val="16"/>
                    </w:rPr>
                  </w:pPr>
                  <w:r w:rsidRPr="00AA0263">
                    <w:rPr>
                      <w:sz w:val="16"/>
                      <w:szCs w:val="16"/>
                    </w:rPr>
                    <w:t>Figure 1: Shows melanoma cell line MRN-1 exp</w:t>
                  </w:r>
                  <w:r w:rsidR="00AA0263" w:rsidRPr="00AA0263">
                    <w:rPr>
                      <w:sz w:val="16"/>
                      <w:szCs w:val="16"/>
                    </w:rPr>
                    <w:t>resses low amounts of ERAP2 (Fruci et al 2006)</w:t>
                  </w:r>
                  <w:r w:rsidRPr="00AA0263">
                    <w:rPr>
                      <w:sz w:val="16"/>
                      <w:szCs w:val="16"/>
                    </w:rPr>
                    <w:t xml:space="preserve"> </w:t>
                  </w:r>
                </w:p>
              </w:txbxContent>
            </v:textbox>
          </v:shape>
        </w:pict>
      </w:r>
      <w:r w:rsidR="00E85F1B" w:rsidRPr="000C7DEA">
        <w:rPr>
          <w:rFonts w:ascii="Arial" w:hAnsi="Arial" w:cs="Arial"/>
          <w:sz w:val="24"/>
          <w:szCs w:val="24"/>
        </w:rPr>
        <w:t xml:space="preserve">Since ERAP2-N is not expressed in the melanoma cell line, MRN-1, </w:t>
      </w:r>
      <w:r w:rsidR="00AA0263" w:rsidRPr="000C7DEA">
        <w:rPr>
          <w:rFonts w:ascii="Arial" w:hAnsi="Arial" w:cs="Arial"/>
          <w:sz w:val="24"/>
          <w:szCs w:val="24"/>
        </w:rPr>
        <w:t xml:space="preserve">the purpose of this experiment is to introduce ERAP2-N into the cell line and see which isoform, between N and K, induces a better immune response. </w:t>
      </w:r>
    </w:p>
    <w:p w:rsidR="00AA0263" w:rsidRPr="000C7DEA" w:rsidRDefault="00AA0263" w:rsidP="00CE75B7">
      <w:pPr>
        <w:pStyle w:val="ListParagraph"/>
        <w:numPr>
          <w:ilvl w:val="0"/>
          <w:numId w:val="3"/>
        </w:numPr>
        <w:rPr>
          <w:rFonts w:ascii="Arial" w:hAnsi="Arial" w:cs="Arial"/>
          <w:b/>
          <w:sz w:val="24"/>
          <w:szCs w:val="24"/>
        </w:rPr>
      </w:pPr>
      <w:r w:rsidRPr="000C7DEA">
        <w:rPr>
          <w:rFonts w:ascii="Arial" w:hAnsi="Arial" w:cs="Arial"/>
          <w:b/>
          <w:sz w:val="24"/>
          <w:szCs w:val="24"/>
        </w:rPr>
        <w:t>Experiment</w:t>
      </w:r>
    </w:p>
    <w:p w:rsidR="00B261FA" w:rsidRPr="000C7DEA" w:rsidRDefault="009969D8" w:rsidP="00C06923">
      <w:pPr>
        <w:rPr>
          <w:rFonts w:ascii="Arial" w:hAnsi="Arial" w:cs="Arial"/>
          <w:sz w:val="24"/>
          <w:szCs w:val="24"/>
        </w:rPr>
      </w:pPr>
      <w:r w:rsidRPr="000C7DEA">
        <w:rPr>
          <w:rFonts w:ascii="Arial" w:hAnsi="Arial" w:cs="Arial"/>
          <w:sz w:val="24"/>
          <w:szCs w:val="24"/>
        </w:rPr>
        <w:t xml:space="preserve">The cell line that is chosen for this experiment is MRN-1, a melanoma human cell line that </w:t>
      </w:r>
      <w:r w:rsidR="00B100D6" w:rsidRPr="000C7DEA">
        <w:rPr>
          <w:rFonts w:ascii="Arial" w:hAnsi="Arial" w:cs="Arial"/>
          <w:sz w:val="24"/>
          <w:szCs w:val="24"/>
        </w:rPr>
        <w:t>expresses low amounts of ERAP2</w:t>
      </w:r>
      <w:r w:rsidRPr="000C7DEA">
        <w:rPr>
          <w:rFonts w:ascii="Arial" w:hAnsi="Arial" w:cs="Arial"/>
          <w:sz w:val="24"/>
          <w:szCs w:val="24"/>
        </w:rPr>
        <w:t>. An ideal cell line</w:t>
      </w:r>
      <w:r w:rsidR="00B100D6" w:rsidRPr="000C7DEA">
        <w:rPr>
          <w:rFonts w:ascii="Arial" w:hAnsi="Arial" w:cs="Arial"/>
          <w:sz w:val="24"/>
          <w:szCs w:val="24"/>
        </w:rPr>
        <w:t xml:space="preserve"> for this experiment would not express ER</w:t>
      </w:r>
      <w:r w:rsidR="00D735D0" w:rsidRPr="000C7DEA">
        <w:rPr>
          <w:rFonts w:ascii="Arial" w:hAnsi="Arial" w:cs="Arial"/>
          <w:sz w:val="24"/>
          <w:szCs w:val="24"/>
        </w:rPr>
        <w:t xml:space="preserve">AP2, but </w:t>
      </w:r>
      <w:r w:rsidR="00C01A12" w:rsidRPr="000C7DEA">
        <w:rPr>
          <w:rFonts w:ascii="Arial" w:hAnsi="Arial" w:cs="Arial"/>
          <w:sz w:val="24"/>
          <w:szCs w:val="24"/>
        </w:rPr>
        <w:t xml:space="preserve">according to Fruci et al, </w:t>
      </w:r>
      <w:r w:rsidR="00D735D0" w:rsidRPr="000C7DEA">
        <w:rPr>
          <w:rFonts w:ascii="Arial" w:hAnsi="Arial" w:cs="Arial"/>
          <w:sz w:val="24"/>
          <w:szCs w:val="24"/>
        </w:rPr>
        <w:t xml:space="preserve">no cell lines without ERAP2 have been found, </w:t>
      </w:r>
      <w:r w:rsidR="00C01A12" w:rsidRPr="000C7DEA">
        <w:rPr>
          <w:rFonts w:ascii="Arial" w:hAnsi="Arial" w:cs="Arial"/>
          <w:sz w:val="24"/>
          <w:szCs w:val="24"/>
        </w:rPr>
        <w:t>yet.</w:t>
      </w:r>
      <w:r w:rsidR="00495F23" w:rsidRPr="000C7DEA">
        <w:rPr>
          <w:rFonts w:ascii="Arial" w:hAnsi="Arial" w:cs="Arial"/>
          <w:sz w:val="24"/>
          <w:szCs w:val="24"/>
        </w:rPr>
        <w:t xml:space="preserve"> This cell line is ideal for this experiment because it has low amounts of ERAP2 and has a peptide transporter, TAP, which helps makes sure that the ERAP2 gene</w:t>
      </w:r>
      <w:r w:rsidR="00320F9B" w:rsidRPr="000C7DEA">
        <w:rPr>
          <w:rFonts w:ascii="Arial" w:hAnsi="Arial" w:cs="Arial"/>
          <w:sz w:val="24"/>
          <w:szCs w:val="24"/>
        </w:rPr>
        <w:t xml:space="preserve"> functions the way it needs to by tra</w:t>
      </w:r>
      <w:r w:rsidR="00094985" w:rsidRPr="000C7DEA">
        <w:rPr>
          <w:rFonts w:ascii="Arial" w:hAnsi="Arial" w:cs="Arial"/>
          <w:sz w:val="24"/>
          <w:szCs w:val="24"/>
        </w:rPr>
        <w:t>nsporting the peptides to the endoplasmic reticulum</w:t>
      </w:r>
      <w:r w:rsidR="00320F9B" w:rsidRPr="000C7DEA">
        <w:rPr>
          <w:rFonts w:ascii="Arial" w:hAnsi="Arial" w:cs="Arial"/>
          <w:sz w:val="24"/>
          <w:szCs w:val="24"/>
        </w:rPr>
        <w:t xml:space="preserve"> to go through the final peptide processing prior to loading onto </w:t>
      </w:r>
      <w:r w:rsidR="00094985" w:rsidRPr="000C7DEA">
        <w:rPr>
          <w:rFonts w:ascii="Arial" w:hAnsi="Arial" w:cs="Arial"/>
          <w:sz w:val="24"/>
          <w:szCs w:val="24"/>
        </w:rPr>
        <w:t xml:space="preserve">the </w:t>
      </w:r>
      <w:r w:rsidR="00320F9B" w:rsidRPr="000C7DEA">
        <w:rPr>
          <w:rFonts w:ascii="Arial" w:hAnsi="Arial" w:cs="Arial"/>
          <w:sz w:val="24"/>
          <w:szCs w:val="24"/>
        </w:rPr>
        <w:t>HLA molecule.</w:t>
      </w:r>
    </w:p>
    <w:p w:rsidR="00B30978" w:rsidRPr="000C7DEA" w:rsidRDefault="00B261FA" w:rsidP="00194383">
      <w:pPr>
        <w:rPr>
          <w:rFonts w:ascii="Arial" w:hAnsi="Arial" w:cs="Arial"/>
          <w:sz w:val="24"/>
          <w:szCs w:val="24"/>
        </w:rPr>
      </w:pPr>
      <w:r w:rsidRPr="000C7DEA">
        <w:rPr>
          <w:rFonts w:ascii="Arial" w:hAnsi="Arial" w:cs="Arial"/>
          <w:sz w:val="24"/>
          <w:szCs w:val="24"/>
        </w:rPr>
        <w:t>The goal</w:t>
      </w:r>
      <w:r w:rsidR="00CA43B7" w:rsidRPr="000C7DEA">
        <w:rPr>
          <w:rFonts w:ascii="Arial" w:hAnsi="Arial" w:cs="Arial"/>
          <w:sz w:val="24"/>
          <w:szCs w:val="24"/>
        </w:rPr>
        <w:t xml:space="preserve"> of this experiment is to measure the lymphocytes</w:t>
      </w:r>
      <w:r w:rsidR="008E5B1E" w:rsidRPr="000C7DEA">
        <w:rPr>
          <w:rFonts w:ascii="Arial" w:hAnsi="Arial" w:cs="Arial"/>
          <w:sz w:val="24"/>
          <w:szCs w:val="24"/>
        </w:rPr>
        <w:t xml:space="preserve"> in the melanoma cell line, MRN-1,</w:t>
      </w:r>
      <w:r w:rsidR="00CA43B7" w:rsidRPr="000C7DEA">
        <w:rPr>
          <w:rFonts w:ascii="Arial" w:hAnsi="Arial" w:cs="Arial"/>
          <w:sz w:val="24"/>
          <w:szCs w:val="24"/>
        </w:rPr>
        <w:t xml:space="preserve"> and determine which isoform, ERAP2-N or ERAP2-K, </w:t>
      </w:r>
      <w:r w:rsidR="00CA43B7" w:rsidRPr="00EB6872">
        <w:rPr>
          <w:rFonts w:ascii="Arial" w:hAnsi="Arial" w:cs="Arial"/>
          <w:sz w:val="24"/>
          <w:szCs w:val="24"/>
        </w:rPr>
        <w:t>induces a better immune response</w:t>
      </w:r>
      <w:r w:rsidR="00495F23" w:rsidRPr="00EB6872">
        <w:rPr>
          <w:rFonts w:ascii="Arial" w:hAnsi="Arial" w:cs="Arial"/>
          <w:sz w:val="24"/>
          <w:szCs w:val="24"/>
        </w:rPr>
        <w:t>.</w:t>
      </w:r>
      <w:r w:rsidR="00CA43B7" w:rsidRPr="00EB6872">
        <w:rPr>
          <w:rFonts w:ascii="Arial" w:hAnsi="Arial" w:cs="Arial"/>
          <w:sz w:val="24"/>
          <w:szCs w:val="24"/>
        </w:rPr>
        <w:t xml:space="preserve"> </w:t>
      </w:r>
      <w:r w:rsidR="008E5B1E" w:rsidRPr="000C7DEA">
        <w:rPr>
          <w:rFonts w:ascii="Arial" w:hAnsi="Arial" w:cs="Arial"/>
          <w:sz w:val="24"/>
          <w:szCs w:val="24"/>
        </w:rPr>
        <w:t>ERAP2-N is not expressed in the cell line so it will need to be introduced exogenously</w:t>
      </w:r>
      <w:r w:rsidR="00D735D0" w:rsidRPr="000C7DEA">
        <w:rPr>
          <w:rFonts w:ascii="Arial" w:hAnsi="Arial" w:cs="Arial"/>
          <w:sz w:val="24"/>
          <w:szCs w:val="24"/>
        </w:rPr>
        <w:t xml:space="preserve"> by transfection</w:t>
      </w:r>
      <w:r w:rsidR="00560122" w:rsidRPr="000C7DEA">
        <w:rPr>
          <w:rFonts w:ascii="Arial" w:hAnsi="Arial" w:cs="Arial"/>
          <w:sz w:val="24"/>
          <w:szCs w:val="24"/>
        </w:rPr>
        <w:t xml:space="preserve"> using</w:t>
      </w:r>
      <w:r w:rsidR="009E3B8C" w:rsidRPr="000C7DEA">
        <w:rPr>
          <w:rFonts w:ascii="Arial" w:hAnsi="Arial" w:cs="Arial"/>
          <w:sz w:val="24"/>
          <w:szCs w:val="24"/>
        </w:rPr>
        <w:t xml:space="preserve"> a</w:t>
      </w:r>
      <w:r w:rsidR="00560122" w:rsidRPr="000C7DEA">
        <w:rPr>
          <w:rFonts w:ascii="Arial" w:hAnsi="Arial" w:cs="Arial"/>
          <w:sz w:val="24"/>
          <w:szCs w:val="24"/>
        </w:rPr>
        <w:t xml:space="preserve"> pTracer-ERAP2-N vector</w:t>
      </w:r>
      <w:r w:rsidR="00D735D0" w:rsidRPr="000C7DEA">
        <w:rPr>
          <w:rFonts w:ascii="Arial" w:hAnsi="Arial" w:cs="Arial"/>
          <w:sz w:val="24"/>
          <w:szCs w:val="24"/>
        </w:rPr>
        <w:t xml:space="preserve">. </w:t>
      </w:r>
      <w:r w:rsidRPr="000C7DEA">
        <w:rPr>
          <w:rFonts w:ascii="Arial" w:hAnsi="Arial" w:cs="Arial"/>
          <w:sz w:val="24"/>
          <w:szCs w:val="24"/>
        </w:rPr>
        <w:t xml:space="preserve">The western blot </w:t>
      </w:r>
      <w:r w:rsidRPr="000C7DEA">
        <w:rPr>
          <w:rFonts w:ascii="Arial" w:hAnsi="Arial" w:cs="Arial"/>
          <w:sz w:val="24"/>
          <w:szCs w:val="24"/>
        </w:rPr>
        <w:lastRenderedPageBreak/>
        <w:t xml:space="preserve">analysis will confirm the ERAP2 expression in MRN-1 and will also determine the amounts of K so the same amount of N can be introduced. Lymphocyte activation assay will be used to measure </w:t>
      </w:r>
      <w:r w:rsidR="00560122" w:rsidRPr="000C7DEA">
        <w:rPr>
          <w:rFonts w:ascii="Arial" w:hAnsi="Arial" w:cs="Arial"/>
          <w:sz w:val="24"/>
          <w:szCs w:val="24"/>
        </w:rPr>
        <w:t xml:space="preserve">and compare </w:t>
      </w:r>
      <w:r w:rsidRPr="000C7DEA">
        <w:rPr>
          <w:rFonts w:ascii="Arial" w:hAnsi="Arial" w:cs="Arial"/>
          <w:sz w:val="24"/>
          <w:szCs w:val="24"/>
        </w:rPr>
        <w:t xml:space="preserve">the natural </w:t>
      </w:r>
      <w:r w:rsidR="00560122" w:rsidRPr="000C7DEA">
        <w:rPr>
          <w:rFonts w:ascii="Arial" w:hAnsi="Arial" w:cs="Arial"/>
          <w:sz w:val="24"/>
          <w:szCs w:val="24"/>
        </w:rPr>
        <w:t>killer cell</w:t>
      </w:r>
      <w:r w:rsidR="00CB506F">
        <w:rPr>
          <w:rFonts w:ascii="Arial" w:hAnsi="Arial" w:cs="Arial"/>
          <w:sz w:val="24"/>
          <w:szCs w:val="24"/>
        </w:rPr>
        <w:t>/T-cell</w:t>
      </w:r>
      <w:r w:rsidR="00560122" w:rsidRPr="000C7DEA">
        <w:rPr>
          <w:rFonts w:ascii="Arial" w:hAnsi="Arial" w:cs="Arial"/>
          <w:sz w:val="24"/>
          <w:szCs w:val="24"/>
        </w:rPr>
        <w:t xml:space="preserve"> activation level against ERAP-N</w:t>
      </w:r>
      <w:r w:rsidR="00BB2620" w:rsidRPr="000C7DEA">
        <w:rPr>
          <w:rFonts w:ascii="Arial" w:hAnsi="Arial" w:cs="Arial"/>
          <w:sz w:val="24"/>
          <w:szCs w:val="24"/>
        </w:rPr>
        <w:t xml:space="preserve"> and</w:t>
      </w:r>
      <w:r w:rsidR="00CB506F">
        <w:rPr>
          <w:rFonts w:ascii="Arial" w:hAnsi="Arial" w:cs="Arial"/>
          <w:sz w:val="24"/>
          <w:szCs w:val="24"/>
        </w:rPr>
        <w:t xml:space="preserve"> ERAP2-K expressed in MRN-1</w:t>
      </w:r>
      <w:r w:rsidR="00BB2620" w:rsidRPr="000C7DEA">
        <w:rPr>
          <w:rFonts w:ascii="Arial" w:hAnsi="Arial" w:cs="Arial"/>
          <w:sz w:val="24"/>
          <w:szCs w:val="24"/>
        </w:rPr>
        <w:t xml:space="preserve">. Flow </w:t>
      </w:r>
      <w:r w:rsidRPr="000C7DEA">
        <w:rPr>
          <w:rFonts w:ascii="Arial" w:hAnsi="Arial" w:cs="Arial"/>
          <w:sz w:val="24"/>
          <w:szCs w:val="24"/>
        </w:rPr>
        <w:t>cytome</w:t>
      </w:r>
      <w:r w:rsidR="00094985" w:rsidRPr="000C7DEA">
        <w:rPr>
          <w:rFonts w:ascii="Arial" w:hAnsi="Arial" w:cs="Arial"/>
          <w:sz w:val="24"/>
          <w:szCs w:val="24"/>
        </w:rPr>
        <w:t xml:space="preserve">try analysis will quantify lymphocyte </w:t>
      </w:r>
      <w:r w:rsidR="009E3B8C" w:rsidRPr="000C7DEA">
        <w:rPr>
          <w:rFonts w:ascii="Arial" w:hAnsi="Arial" w:cs="Arial"/>
          <w:sz w:val="24"/>
          <w:szCs w:val="24"/>
        </w:rPr>
        <w:t>activation and</w:t>
      </w:r>
      <w:r w:rsidR="00081F03" w:rsidRPr="000C7DEA">
        <w:rPr>
          <w:rFonts w:ascii="Arial" w:hAnsi="Arial" w:cs="Arial"/>
          <w:sz w:val="24"/>
          <w:szCs w:val="24"/>
        </w:rPr>
        <w:t xml:space="preserve"> count all the activated natural killer and T cells. </w:t>
      </w:r>
    </w:p>
    <w:p w:rsidR="00746A90" w:rsidRPr="000C7DEA" w:rsidRDefault="00082215" w:rsidP="00194383">
      <w:pPr>
        <w:rPr>
          <w:rFonts w:ascii="Arial" w:hAnsi="Arial" w:cs="Arial"/>
          <w:sz w:val="24"/>
          <w:szCs w:val="24"/>
          <w:u w:val="single"/>
        </w:rPr>
      </w:pPr>
      <w:r w:rsidRPr="000C7DEA">
        <w:rPr>
          <w:rFonts w:ascii="Arial" w:hAnsi="Arial" w:cs="Arial"/>
          <w:sz w:val="24"/>
          <w:szCs w:val="24"/>
          <w:u w:val="single"/>
        </w:rPr>
        <w:t xml:space="preserve">Part A. </w:t>
      </w:r>
      <w:r w:rsidR="009C3AC2" w:rsidRPr="000C7DEA">
        <w:rPr>
          <w:rFonts w:ascii="Arial" w:hAnsi="Arial" w:cs="Arial"/>
          <w:sz w:val="24"/>
          <w:szCs w:val="24"/>
          <w:u w:val="single"/>
        </w:rPr>
        <w:t>Introduction of ERAP2-N into MRN-1</w:t>
      </w:r>
    </w:p>
    <w:p w:rsidR="009C3AC2" w:rsidRPr="000C7DEA" w:rsidRDefault="000657ED" w:rsidP="00194383">
      <w:pPr>
        <w:rPr>
          <w:rFonts w:ascii="Arial" w:hAnsi="Arial" w:cs="Arial"/>
          <w:sz w:val="24"/>
          <w:szCs w:val="24"/>
        </w:rPr>
      </w:pPr>
      <w:r w:rsidRPr="000C7DEA">
        <w:rPr>
          <w:rFonts w:ascii="Arial" w:hAnsi="Arial" w:cs="Arial"/>
          <w:sz w:val="24"/>
          <w:szCs w:val="24"/>
        </w:rPr>
        <w:t xml:space="preserve">Following the transfection protocol in </w:t>
      </w:r>
      <w:r w:rsidR="007F63A1" w:rsidRPr="000C7DEA">
        <w:rPr>
          <w:rFonts w:ascii="Arial" w:hAnsi="Arial" w:cs="Arial"/>
          <w:sz w:val="24"/>
          <w:szCs w:val="24"/>
        </w:rPr>
        <w:t>Alistair et</w:t>
      </w:r>
      <w:r w:rsidRPr="000C7DEA">
        <w:rPr>
          <w:rFonts w:ascii="Arial" w:hAnsi="Arial" w:cs="Arial"/>
          <w:sz w:val="24"/>
          <w:szCs w:val="24"/>
        </w:rPr>
        <w:t xml:space="preserve"> al (2001),</w:t>
      </w:r>
      <w:r w:rsidR="007F63A1" w:rsidRPr="000C7DEA">
        <w:rPr>
          <w:rFonts w:ascii="Arial" w:hAnsi="Arial" w:cs="Arial"/>
          <w:sz w:val="24"/>
          <w:szCs w:val="24"/>
        </w:rPr>
        <w:t xml:space="preserve"> </w:t>
      </w:r>
      <w:r w:rsidR="00194383" w:rsidRPr="000C7DEA">
        <w:rPr>
          <w:rFonts w:ascii="Arial" w:hAnsi="Arial" w:cs="Arial"/>
          <w:sz w:val="24"/>
          <w:szCs w:val="24"/>
        </w:rPr>
        <w:t>ERAP2-N will be introduced</w:t>
      </w:r>
      <w:r w:rsidRPr="000C7DEA">
        <w:rPr>
          <w:rFonts w:ascii="Arial" w:hAnsi="Arial" w:cs="Arial"/>
          <w:sz w:val="24"/>
          <w:szCs w:val="24"/>
        </w:rPr>
        <w:t xml:space="preserve"> exogenously</w:t>
      </w:r>
      <w:r w:rsidR="00194383" w:rsidRPr="000C7DEA">
        <w:rPr>
          <w:rFonts w:ascii="Arial" w:hAnsi="Arial" w:cs="Arial"/>
          <w:sz w:val="24"/>
          <w:szCs w:val="24"/>
        </w:rPr>
        <w:t xml:space="preserve"> by the method of transfection using a pTracer ERAP2-N vector. MRN-1 cells will be plated in the appropriate media and will be left overn</w:t>
      </w:r>
      <w:r w:rsidR="007F63A1" w:rsidRPr="000C7DEA">
        <w:rPr>
          <w:rFonts w:ascii="Arial" w:hAnsi="Arial" w:cs="Arial"/>
          <w:sz w:val="24"/>
          <w:szCs w:val="24"/>
        </w:rPr>
        <w:t>ight in temperature of 37º</w:t>
      </w:r>
      <w:r w:rsidR="00194383" w:rsidRPr="000C7DEA">
        <w:rPr>
          <w:rFonts w:ascii="Arial" w:hAnsi="Arial" w:cs="Arial"/>
          <w:sz w:val="24"/>
          <w:szCs w:val="24"/>
        </w:rPr>
        <w:t xml:space="preserve"> C. A pTracer th</w:t>
      </w:r>
      <w:r w:rsidR="007F63A1" w:rsidRPr="000C7DEA">
        <w:rPr>
          <w:rFonts w:ascii="Arial" w:hAnsi="Arial" w:cs="Arial"/>
          <w:sz w:val="24"/>
          <w:szCs w:val="24"/>
        </w:rPr>
        <w:t xml:space="preserve">at includes </w:t>
      </w:r>
      <w:r w:rsidR="00194383" w:rsidRPr="000C7DEA">
        <w:rPr>
          <w:rFonts w:ascii="Arial" w:hAnsi="Arial" w:cs="Arial"/>
          <w:sz w:val="24"/>
          <w:szCs w:val="24"/>
        </w:rPr>
        <w:t>ERAP2-</w:t>
      </w:r>
      <w:r w:rsidR="007F63A1" w:rsidRPr="000C7DEA">
        <w:rPr>
          <w:rFonts w:ascii="Arial" w:hAnsi="Arial" w:cs="Arial"/>
          <w:sz w:val="24"/>
          <w:szCs w:val="24"/>
        </w:rPr>
        <w:t xml:space="preserve">N plasmid </w:t>
      </w:r>
      <w:r w:rsidR="00194383" w:rsidRPr="000C7DEA">
        <w:rPr>
          <w:rFonts w:ascii="Arial" w:hAnsi="Arial" w:cs="Arial"/>
          <w:sz w:val="24"/>
          <w:szCs w:val="24"/>
        </w:rPr>
        <w:t>will be used to transfect the MRN-1with the ERAP2-N isoform</w:t>
      </w:r>
      <w:r w:rsidR="005F0B30" w:rsidRPr="000C7DEA">
        <w:rPr>
          <w:rFonts w:ascii="Arial" w:hAnsi="Arial" w:cs="Arial"/>
          <w:sz w:val="24"/>
          <w:szCs w:val="24"/>
        </w:rPr>
        <w:t xml:space="preserve">. </w:t>
      </w:r>
    </w:p>
    <w:p w:rsidR="00194383" w:rsidRPr="000C7DEA" w:rsidRDefault="00194383" w:rsidP="00194383">
      <w:pPr>
        <w:rPr>
          <w:rFonts w:ascii="Arial" w:hAnsi="Arial" w:cs="Arial"/>
          <w:sz w:val="24"/>
          <w:szCs w:val="24"/>
          <w:u w:val="single"/>
        </w:rPr>
      </w:pPr>
      <w:r w:rsidRPr="000C7DEA">
        <w:rPr>
          <w:rFonts w:ascii="Arial" w:hAnsi="Arial" w:cs="Arial"/>
          <w:sz w:val="24"/>
          <w:szCs w:val="24"/>
          <w:u w:val="single"/>
        </w:rPr>
        <w:t xml:space="preserve">Part B. </w:t>
      </w:r>
      <w:r w:rsidR="00AD515B" w:rsidRPr="000C7DEA">
        <w:rPr>
          <w:rFonts w:ascii="Arial" w:hAnsi="Arial" w:cs="Arial"/>
          <w:sz w:val="24"/>
          <w:szCs w:val="24"/>
          <w:u w:val="single"/>
        </w:rPr>
        <w:t>Western blot ana</w:t>
      </w:r>
      <w:r w:rsidR="00304961">
        <w:rPr>
          <w:rFonts w:ascii="Arial" w:hAnsi="Arial" w:cs="Arial"/>
          <w:sz w:val="24"/>
          <w:szCs w:val="24"/>
          <w:u w:val="single"/>
        </w:rPr>
        <w:t>l</w:t>
      </w:r>
      <w:r w:rsidR="00AD515B" w:rsidRPr="000C7DEA">
        <w:rPr>
          <w:rFonts w:ascii="Arial" w:hAnsi="Arial" w:cs="Arial"/>
          <w:sz w:val="24"/>
          <w:szCs w:val="24"/>
          <w:u w:val="single"/>
        </w:rPr>
        <w:t>ysis</w:t>
      </w:r>
    </w:p>
    <w:p w:rsidR="00374181" w:rsidRPr="000C7DEA" w:rsidRDefault="00C62682" w:rsidP="00AD515B">
      <w:pPr>
        <w:rPr>
          <w:rFonts w:ascii="Arial" w:hAnsi="Arial" w:cs="Arial"/>
          <w:sz w:val="24"/>
          <w:szCs w:val="24"/>
        </w:rPr>
      </w:pPr>
      <w:r w:rsidRPr="000C7DEA">
        <w:rPr>
          <w:rFonts w:ascii="Arial" w:hAnsi="Arial" w:cs="Arial"/>
          <w:sz w:val="24"/>
          <w:szCs w:val="24"/>
        </w:rPr>
        <w:t>Andres et al (2010)</w:t>
      </w:r>
      <w:r w:rsidR="00DB04D9" w:rsidRPr="000C7DEA">
        <w:rPr>
          <w:rFonts w:ascii="Arial" w:hAnsi="Arial" w:cs="Arial"/>
          <w:sz w:val="24"/>
          <w:szCs w:val="24"/>
        </w:rPr>
        <w:t xml:space="preserve"> use </w:t>
      </w:r>
      <w:r w:rsidR="000657ED" w:rsidRPr="000C7DEA">
        <w:rPr>
          <w:rFonts w:ascii="Arial" w:hAnsi="Arial" w:cs="Arial"/>
          <w:sz w:val="24"/>
          <w:szCs w:val="24"/>
        </w:rPr>
        <w:t>wes</w:t>
      </w:r>
      <w:r w:rsidR="0079062A" w:rsidRPr="000C7DEA">
        <w:rPr>
          <w:rFonts w:ascii="Arial" w:hAnsi="Arial" w:cs="Arial"/>
          <w:sz w:val="24"/>
          <w:szCs w:val="24"/>
        </w:rPr>
        <w:t>tern blottin</w:t>
      </w:r>
      <w:r w:rsidRPr="000C7DEA">
        <w:rPr>
          <w:rFonts w:ascii="Arial" w:hAnsi="Arial" w:cs="Arial"/>
          <w:sz w:val="24"/>
          <w:szCs w:val="24"/>
        </w:rPr>
        <w:t>g to see the expression of ER</w:t>
      </w:r>
      <w:r w:rsidR="00EA746C" w:rsidRPr="000C7DEA">
        <w:rPr>
          <w:rFonts w:ascii="Arial" w:hAnsi="Arial" w:cs="Arial"/>
          <w:sz w:val="24"/>
          <w:szCs w:val="24"/>
        </w:rPr>
        <w:t>AP2 in lymphoblastoid cell lines</w:t>
      </w:r>
      <w:r w:rsidR="00DB04D9" w:rsidRPr="000C7DEA">
        <w:rPr>
          <w:rFonts w:ascii="Arial" w:hAnsi="Arial" w:cs="Arial"/>
          <w:sz w:val="24"/>
          <w:szCs w:val="24"/>
        </w:rPr>
        <w:t>. Following their procedure of western blotting, it will confirm the expression of the ERAP2 protein and will confirm the expression of the ERAP2-N isoform in MRN-1. This method will also determine the amounts of ERAP2-K so the same amount of ERAP2-N can be introduced.</w:t>
      </w:r>
    </w:p>
    <w:p w:rsidR="00DB04D9" w:rsidRPr="000C7DEA" w:rsidRDefault="00DB04D9" w:rsidP="00AD515B">
      <w:pPr>
        <w:rPr>
          <w:rFonts w:ascii="Arial" w:hAnsi="Arial" w:cs="Arial"/>
          <w:sz w:val="24"/>
          <w:szCs w:val="24"/>
          <w:u w:val="single"/>
        </w:rPr>
      </w:pPr>
      <w:r w:rsidRPr="000C7DEA">
        <w:rPr>
          <w:rFonts w:ascii="Arial" w:hAnsi="Arial" w:cs="Arial"/>
          <w:sz w:val="24"/>
          <w:szCs w:val="24"/>
          <w:u w:val="single"/>
        </w:rPr>
        <w:t>Part C. Lymphocyte activation assay</w:t>
      </w:r>
      <w:r w:rsidR="005A5990" w:rsidRPr="000C7DEA">
        <w:rPr>
          <w:rFonts w:ascii="Arial" w:hAnsi="Arial" w:cs="Arial"/>
          <w:sz w:val="24"/>
          <w:szCs w:val="24"/>
          <w:u w:val="single"/>
        </w:rPr>
        <w:t xml:space="preserve"> and flow cytometry analysis:</w:t>
      </w:r>
    </w:p>
    <w:p w:rsidR="00597486" w:rsidRPr="000C7DEA" w:rsidRDefault="00597486" w:rsidP="00AD515B">
      <w:pPr>
        <w:rPr>
          <w:rFonts w:ascii="Arial" w:hAnsi="Arial" w:cs="Arial"/>
          <w:sz w:val="24"/>
          <w:szCs w:val="24"/>
        </w:rPr>
      </w:pPr>
      <w:r w:rsidRPr="000C7DEA">
        <w:rPr>
          <w:rFonts w:ascii="Arial" w:hAnsi="Arial" w:cs="Arial"/>
          <w:sz w:val="24"/>
          <w:szCs w:val="24"/>
        </w:rPr>
        <w:t xml:space="preserve">Lymphocytes are white blood cells that are part of the immune system. </w:t>
      </w:r>
      <w:r w:rsidR="00F90A7A" w:rsidRPr="000C7DEA">
        <w:rPr>
          <w:rFonts w:ascii="Arial" w:hAnsi="Arial" w:cs="Arial"/>
          <w:sz w:val="24"/>
          <w:szCs w:val="24"/>
        </w:rPr>
        <w:t xml:space="preserve">Lymphocytes include natural killer cells, T-cells, and B-cells. </w:t>
      </w:r>
      <w:r w:rsidRPr="000C7DEA">
        <w:rPr>
          <w:rFonts w:ascii="Arial" w:hAnsi="Arial" w:cs="Arial"/>
          <w:sz w:val="24"/>
          <w:szCs w:val="24"/>
        </w:rPr>
        <w:t xml:space="preserve">Natural killer cells are immune cells that that can kill cancer cells and T-cells help the body fight cancer. When the body is trying to fight off an infection, lymphocyte activation occurs. </w:t>
      </w:r>
    </w:p>
    <w:p w:rsidR="00DB04D9" w:rsidRPr="000C7DEA" w:rsidRDefault="00597486" w:rsidP="00AD515B">
      <w:pPr>
        <w:rPr>
          <w:rFonts w:ascii="Arial" w:hAnsi="Arial" w:cs="Arial"/>
          <w:sz w:val="24"/>
          <w:szCs w:val="24"/>
        </w:rPr>
      </w:pPr>
      <w:r w:rsidRPr="000C7DEA">
        <w:rPr>
          <w:rFonts w:ascii="Arial" w:hAnsi="Arial" w:cs="Arial"/>
          <w:sz w:val="24"/>
          <w:szCs w:val="24"/>
        </w:rPr>
        <w:t xml:space="preserve"> For the lymphocyte activation assay</w:t>
      </w:r>
      <w:r w:rsidR="00F90A7A" w:rsidRPr="000C7DEA">
        <w:rPr>
          <w:rFonts w:ascii="Arial" w:hAnsi="Arial" w:cs="Arial"/>
          <w:sz w:val="24"/>
          <w:szCs w:val="24"/>
        </w:rPr>
        <w:t xml:space="preserve">, </w:t>
      </w:r>
      <w:r w:rsidR="00DB04D9" w:rsidRPr="000C7DEA">
        <w:rPr>
          <w:rFonts w:ascii="Arial" w:hAnsi="Arial" w:cs="Arial"/>
          <w:sz w:val="24"/>
          <w:szCs w:val="24"/>
        </w:rPr>
        <w:t>only</w:t>
      </w:r>
      <w:r w:rsidR="00F9789C" w:rsidRPr="000C7DEA">
        <w:rPr>
          <w:rFonts w:ascii="Arial" w:hAnsi="Arial" w:cs="Arial"/>
          <w:sz w:val="24"/>
          <w:szCs w:val="24"/>
        </w:rPr>
        <w:t xml:space="preserve"> CD8</w:t>
      </w:r>
      <w:r w:rsidR="00F9789C" w:rsidRPr="000C7DEA">
        <w:rPr>
          <w:rFonts w:ascii="Arial" w:hAnsi="Arial" w:cs="Arial"/>
          <w:sz w:val="24"/>
          <w:szCs w:val="24"/>
          <w:vertAlign w:val="superscript"/>
        </w:rPr>
        <w:t>+</w:t>
      </w:r>
      <w:r w:rsidR="00DB04D9" w:rsidRPr="000C7DEA">
        <w:rPr>
          <w:rFonts w:ascii="Arial" w:hAnsi="Arial" w:cs="Arial"/>
          <w:sz w:val="24"/>
          <w:szCs w:val="24"/>
        </w:rPr>
        <w:t xml:space="preserve"> T-cells and natural killer cells will be measured.</w:t>
      </w:r>
      <w:r w:rsidR="006605F6" w:rsidRPr="000C7DEA">
        <w:rPr>
          <w:rFonts w:ascii="Arial" w:hAnsi="Arial" w:cs="Arial"/>
          <w:sz w:val="24"/>
          <w:szCs w:val="24"/>
        </w:rPr>
        <w:t xml:space="preserve"> </w:t>
      </w:r>
      <w:r w:rsidR="00DB04D9" w:rsidRPr="000C7DEA">
        <w:rPr>
          <w:rFonts w:ascii="Arial" w:hAnsi="Arial" w:cs="Arial"/>
          <w:sz w:val="24"/>
          <w:szCs w:val="24"/>
        </w:rPr>
        <w:t>Natural killer cells</w:t>
      </w:r>
      <w:r w:rsidRPr="000C7DEA">
        <w:rPr>
          <w:rFonts w:ascii="Arial" w:hAnsi="Arial" w:cs="Arial"/>
          <w:sz w:val="24"/>
          <w:szCs w:val="24"/>
        </w:rPr>
        <w:t>/T-cells</w:t>
      </w:r>
      <w:r w:rsidR="00DB04D9" w:rsidRPr="000C7DEA">
        <w:rPr>
          <w:rFonts w:ascii="Arial" w:hAnsi="Arial" w:cs="Arial"/>
          <w:sz w:val="24"/>
          <w:szCs w:val="24"/>
        </w:rPr>
        <w:t xml:space="preserve"> in ERAP2-N will be measured and compared</w:t>
      </w:r>
      <w:r w:rsidR="00C06923" w:rsidRPr="000C7DEA">
        <w:rPr>
          <w:rFonts w:ascii="Arial" w:hAnsi="Arial" w:cs="Arial"/>
          <w:sz w:val="24"/>
          <w:szCs w:val="24"/>
        </w:rPr>
        <w:t xml:space="preserve"> with the natural killer cells</w:t>
      </w:r>
      <w:r w:rsidRPr="000C7DEA">
        <w:rPr>
          <w:rFonts w:ascii="Arial" w:hAnsi="Arial" w:cs="Arial"/>
          <w:sz w:val="24"/>
          <w:szCs w:val="24"/>
        </w:rPr>
        <w:t>/T-cells</w:t>
      </w:r>
      <w:r w:rsidR="00C06923" w:rsidRPr="000C7DEA">
        <w:rPr>
          <w:rFonts w:ascii="Arial" w:hAnsi="Arial" w:cs="Arial"/>
          <w:sz w:val="24"/>
          <w:szCs w:val="24"/>
        </w:rPr>
        <w:t xml:space="preserve"> in ERAP2-K. </w:t>
      </w:r>
      <w:r w:rsidR="00922E9F" w:rsidRPr="000C7DEA">
        <w:rPr>
          <w:rFonts w:ascii="Arial" w:hAnsi="Arial" w:cs="Arial"/>
          <w:sz w:val="24"/>
          <w:szCs w:val="24"/>
        </w:rPr>
        <w:t xml:space="preserve">Flow cytometry will quantify lymphocyte activation and only measure the </w:t>
      </w:r>
      <w:r w:rsidRPr="000C7DEA">
        <w:rPr>
          <w:rFonts w:ascii="Arial" w:hAnsi="Arial" w:cs="Arial"/>
          <w:sz w:val="24"/>
          <w:szCs w:val="24"/>
        </w:rPr>
        <w:t>activated natural killer cells/T-cells.</w:t>
      </w:r>
      <w:r w:rsidR="0021553A" w:rsidRPr="000C7DEA">
        <w:rPr>
          <w:rFonts w:ascii="Arial" w:hAnsi="Arial" w:cs="Arial"/>
          <w:sz w:val="24"/>
          <w:szCs w:val="24"/>
        </w:rPr>
        <w:t xml:space="preserve"> </w:t>
      </w:r>
    </w:p>
    <w:p w:rsidR="00F9789C" w:rsidRPr="000C7DEA" w:rsidRDefault="00F9789C" w:rsidP="00F9789C">
      <w:pPr>
        <w:pStyle w:val="ListParagraph"/>
        <w:numPr>
          <w:ilvl w:val="0"/>
          <w:numId w:val="3"/>
        </w:numPr>
        <w:rPr>
          <w:rFonts w:ascii="Arial" w:hAnsi="Arial" w:cs="Arial"/>
          <w:b/>
          <w:sz w:val="24"/>
          <w:szCs w:val="24"/>
        </w:rPr>
      </w:pPr>
      <w:r w:rsidRPr="000C7DEA">
        <w:rPr>
          <w:rFonts w:ascii="Arial" w:hAnsi="Arial" w:cs="Arial"/>
          <w:b/>
          <w:sz w:val="24"/>
          <w:szCs w:val="24"/>
        </w:rPr>
        <w:t>Discussion</w:t>
      </w:r>
    </w:p>
    <w:p w:rsidR="00F9789C" w:rsidRPr="000C7DEA" w:rsidRDefault="00F9789C" w:rsidP="00F9789C">
      <w:pPr>
        <w:rPr>
          <w:rFonts w:ascii="Arial" w:hAnsi="Arial" w:cs="Arial"/>
          <w:sz w:val="24"/>
          <w:szCs w:val="24"/>
        </w:rPr>
      </w:pPr>
      <w:r w:rsidRPr="000C7DEA">
        <w:rPr>
          <w:rFonts w:ascii="Arial" w:hAnsi="Arial" w:cs="Arial"/>
          <w:sz w:val="24"/>
          <w:szCs w:val="24"/>
        </w:rPr>
        <w:t>There will be three possible results of this experiment: exogenously introduced ERAP2</w:t>
      </w:r>
      <w:r w:rsidR="00EB6872">
        <w:rPr>
          <w:rFonts w:ascii="Arial" w:hAnsi="Arial" w:cs="Arial"/>
          <w:sz w:val="24"/>
          <w:szCs w:val="24"/>
        </w:rPr>
        <w:t>-N</w:t>
      </w:r>
      <w:r w:rsidRPr="000C7DEA">
        <w:rPr>
          <w:rFonts w:ascii="Arial" w:hAnsi="Arial" w:cs="Arial"/>
          <w:sz w:val="24"/>
          <w:szCs w:val="24"/>
        </w:rPr>
        <w:t xml:space="preserve"> induces more natural killer cells</w:t>
      </w:r>
      <w:r w:rsidR="00B11FA0" w:rsidRPr="000C7DEA">
        <w:rPr>
          <w:rFonts w:ascii="Arial" w:hAnsi="Arial" w:cs="Arial"/>
          <w:sz w:val="24"/>
          <w:szCs w:val="24"/>
        </w:rPr>
        <w:t>/T-cells</w:t>
      </w:r>
      <w:r w:rsidRPr="000C7DEA">
        <w:rPr>
          <w:rFonts w:ascii="Arial" w:hAnsi="Arial" w:cs="Arial"/>
          <w:sz w:val="24"/>
          <w:szCs w:val="24"/>
        </w:rPr>
        <w:t xml:space="preserve">, ERAP2-K induces more activated </w:t>
      </w:r>
      <w:r w:rsidR="00B11FA0" w:rsidRPr="000C7DEA">
        <w:rPr>
          <w:rFonts w:ascii="Arial" w:hAnsi="Arial" w:cs="Arial"/>
          <w:sz w:val="24"/>
          <w:szCs w:val="24"/>
        </w:rPr>
        <w:t xml:space="preserve">natural </w:t>
      </w:r>
      <w:r w:rsidRPr="000C7DEA">
        <w:rPr>
          <w:rFonts w:ascii="Arial" w:hAnsi="Arial" w:cs="Arial"/>
          <w:sz w:val="24"/>
          <w:szCs w:val="24"/>
        </w:rPr>
        <w:t>killer cells</w:t>
      </w:r>
      <w:r w:rsidR="00B11FA0" w:rsidRPr="000C7DEA">
        <w:rPr>
          <w:rFonts w:ascii="Arial" w:hAnsi="Arial" w:cs="Arial"/>
          <w:sz w:val="24"/>
          <w:szCs w:val="24"/>
        </w:rPr>
        <w:t>/T-cells</w:t>
      </w:r>
      <w:r w:rsidRPr="000C7DEA">
        <w:rPr>
          <w:rFonts w:ascii="Arial" w:hAnsi="Arial" w:cs="Arial"/>
          <w:sz w:val="24"/>
          <w:szCs w:val="24"/>
        </w:rPr>
        <w:t>, or ERAP2-N and ERAP2-K have the same amounts of activated natural killer cells</w:t>
      </w:r>
      <w:r w:rsidR="00B11FA0" w:rsidRPr="000C7DEA">
        <w:rPr>
          <w:rFonts w:ascii="Arial" w:hAnsi="Arial" w:cs="Arial"/>
          <w:sz w:val="24"/>
          <w:szCs w:val="24"/>
        </w:rPr>
        <w:t>/T-cells</w:t>
      </w:r>
      <w:r w:rsidRPr="000C7DEA">
        <w:rPr>
          <w:rFonts w:ascii="Arial" w:hAnsi="Arial" w:cs="Arial"/>
          <w:sz w:val="24"/>
          <w:szCs w:val="24"/>
        </w:rPr>
        <w:t>. The purpose of this experiment is to determine which isoform of ERAP2, K or N, induces a better immune response. This will be determined by counting the activated natural killer cells</w:t>
      </w:r>
      <w:r w:rsidR="00B11FA0" w:rsidRPr="000C7DEA">
        <w:rPr>
          <w:rFonts w:ascii="Arial" w:hAnsi="Arial" w:cs="Arial"/>
          <w:sz w:val="24"/>
          <w:szCs w:val="24"/>
        </w:rPr>
        <w:t>/T-cells</w:t>
      </w:r>
      <w:r w:rsidRPr="000C7DEA">
        <w:rPr>
          <w:rFonts w:ascii="Arial" w:hAnsi="Arial" w:cs="Arial"/>
          <w:sz w:val="24"/>
          <w:szCs w:val="24"/>
        </w:rPr>
        <w:t xml:space="preserve"> in each isoform. More natural </w:t>
      </w:r>
      <w:r w:rsidR="00B11FA0" w:rsidRPr="000C7DEA">
        <w:rPr>
          <w:rFonts w:ascii="Arial" w:hAnsi="Arial" w:cs="Arial"/>
          <w:sz w:val="24"/>
          <w:szCs w:val="24"/>
        </w:rPr>
        <w:t xml:space="preserve">killer cells mean that more cancer cells are killed. </w:t>
      </w:r>
    </w:p>
    <w:p w:rsidR="00983642" w:rsidRDefault="000C7DEA" w:rsidP="00F9789C">
      <w:pPr>
        <w:rPr>
          <w:rFonts w:ascii="Arial" w:hAnsi="Arial" w:cs="Arial"/>
          <w:sz w:val="24"/>
          <w:szCs w:val="24"/>
          <w:shd w:val="clear" w:color="auto" w:fill="FFFFFF"/>
        </w:rPr>
      </w:pPr>
      <w:r w:rsidRPr="000C7DEA">
        <w:rPr>
          <w:rFonts w:ascii="Arial" w:hAnsi="Arial" w:cs="Arial"/>
          <w:sz w:val="24"/>
          <w:szCs w:val="24"/>
        </w:rPr>
        <w:lastRenderedPageBreak/>
        <w:t xml:space="preserve"> </w:t>
      </w:r>
      <w:r w:rsidRPr="000C7DEA">
        <w:rPr>
          <w:rFonts w:ascii="Arial" w:hAnsi="Arial" w:cs="Arial"/>
          <w:sz w:val="24"/>
          <w:szCs w:val="24"/>
          <w:shd w:val="clear" w:color="auto" w:fill="FFFFFF"/>
        </w:rPr>
        <w:t>Evnouchidou et al (2012)</w:t>
      </w:r>
      <w:r>
        <w:rPr>
          <w:rFonts w:ascii="Arial" w:hAnsi="Arial" w:cs="Arial"/>
          <w:sz w:val="24"/>
          <w:szCs w:val="24"/>
          <w:shd w:val="clear" w:color="auto" w:fill="FFFFFF"/>
        </w:rPr>
        <w:t xml:space="preserve"> me</w:t>
      </w:r>
      <w:r w:rsidR="003A2410">
        <w:rPr>
          <w:rFonts w:ascii="Arial" w:hAnsi="Arial" w:cs="Arial"/>
          <w:sz w:val="24"/>
          <w:szCs w:val="24"/>
          <w:shd w:val="clear" w:color="auto" w:fill="FFFFFF"/>
        </w:rPr>
        <w:t xml:space="preserve">ntioned that ERAP2-N trims peptides at a fast rate, about 165 times more than ERAP2-K. This can alter with the activation of the natural killer cells and T-cells. If ERAP2-N trims peptides at a faster rate </w:t>
      </w:r>
      <w:r w:rsidR="00457210">
        <w:rPr>
          <w:rFonts w:ascii="Arial" w:hAnsi="Arial" w:cs="Arial"/>
          <w:sz w:val="24"/>
          <w:szCs w:val="24"/>
          <w:shd w:val="clear" w:color="auto" w:fill="FFFFFF"/>
        </w:rPr>
        <w:t>than ERAP2-K, it may have provide</w:t>
      </w:r>
      <w:r w:rsidR="003A2410">
        <w:rPr>
          <w:rFonts w:ascii="Arial" w:hAnsi="Arial" w:cs="Arial"/>
          <w:sz w:val="24"/>
          <w:szCs w:val="24"/>
          <w:shd w:val="clear" w:color="auto" w:fill="FFFFFF"/>
        </w:rPr>
        <w:t xml:space="preserve"> a better immune response than ERAP2-K because </w:t>
      </w:r>
      <w:r w:rsidR="00457210">
        <w:rPr>
          <w:rFonts w:ascii="Arial" w:hAnsi="Arial" w:cs="Arial"/>
          <w:sz w:val="24"/>
          <w:szCs w:val="24"/>
          <w:shd w:val="clear" w:color="auto" w:fill="FFFFFF"/>
        </w:rPr>
        <w:t xml:space="preserve">if peptides are being trimmed at a faster rate </w:t>
      </w:r>
      <w:r w:rsidR="003A2410">
        <w:rPr>
          <w:rFonts w:ascii="Arial" w:hAnsi="Arial" w:cs="Arial"/>
          <w:sz w:val="24"/>
          <w:szCs w:val="24"/>
          <w:shd w:val="clear" w:color="auto" w:fill="FFFFFF"/>
        </w:rPr>
        <w:t>that may trigger more natural killer cells</w:t>
      </w:r>
      <w:r w:rsidR="00457210">
        <w:rPr>
          <w:rFonts w:ascii="Arial" w:hAnsi="Arial" w:cs="Arial"/>
          <w:sz w:val="24"/>
          <w:szCs w:val="24"/>
          <w:shd w:val="clear" w:color="auto" w:fill="FFFFFF"/>
        </w:rPr>
        <w:t xml:space="preserve"> and T-cells.</w:t>
      </w:r>
    </w:p>
    <w:p w:rsidR="007B22AF" w:rsidRDefault="007B22AF" w:rsidP="00F9789C">
      <w:pPr>
        <w:rPr>
          <w:rFonts w:ascii="Arial" w:hAnsi="Arial" w:cs="Arial"/>
          <w:sz w:val="24"/>
          <w:szCs w:val="24"/>
          <w:shd w:val="clear" w:color="auto" w:fill="FFFFFF"/>
        </w:rPr>
      </w:pPr>
      <w:r>
        <w:rPr>
          <w:rFonts w:ascii="Arial" w:hAnsi="Arial" w:cs="Arial"/>
          <w:sz w:val="24"/>
          <w:szCs w:val="24"/>
          <w:shd w:val="clear" w:color="auto" w:fill="FFFFFF"/>
        </w:rPr>
        <w:t xml:space="preserve">Having ERAP2-K in MRN-1 could maybe skew the results because having a cell line that doesn’t express both the ERAP2 isoforms would have been more ideal. Having a cell line with </w:t>
      </w:r>
      <w:r w:rsidR="00973EAB">
        <w:rPr>
          <w:rFonts w:ascii="Arial" w:hAnsi="Arial" w:cs="Arial"/>
          <w:sz w:val="24"/>
          <w:szCs w:val="24"/>
          <w:shd w:val="clear" w:color="auto" w:fill="FFFFFF"/>
        </w:rPr>
        <w:t>neither K nor</w:t>
      </w:r>
      <w:r>
        <w:rPr>
          <w:rFonts w:ascii="Arial" w:hAnsi="Arial" w:cs="Arial"/>
          <w:sz w:val="24"/>
          <w:szCs w:val="24"/>
          <w:shd w:val="clear" w:color="auto" w:fill="FFFFFF"/>
        </w:rPr>
        <w:t xml:space="preserve"> N would have been more ideal because then the cell line would go through each step for each isoform and the results would be more </w:t>
      </w:r>
      <w:r w:rsidR="00973EAB">
        <w:rPr>
          <w:rFonts w:ascii="Arial" w:hAnsi="Arial" w:cs="Arial"/>
          <w:sz w:val="24"/>
          <w:szCs w:val="24"/>
          <w:shd w:val="clear" w:color="auto" w:fill="FFFFFF"/>
        </w:rPr>
        <w:t>accurate</w:t>
      </w:r>
      <w:r>
        <w:rPr>
          <w:rFonts w:ascii="Arial" w:hAnsi="Arial" w:cs="Arial"/>
          <w:sz w:val="24"/>
          <w:szCs w:val="24"/>
          <w:shd w:val="clear" w:color="auto" w:fill="FFFFFF"/>
        </w:rPr>
        <w:t>.</w:t>
      </w: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DB14EA" w:rsidRDefault="00DB14EA"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Pr="007076C2" w:rsidRDefault="007076C2" w:rsidP="007076C2">
      <w:pPr>
        <w:jc w:val="center"/>
        <w:rPr>
          <w:rFonts w:ascii="Arial" w:hAnsi="Arial" w:cs="Arial"/>
          <w:b/>
          <w:sz w:val="24"/>
          <w:szCs w:val="24"/>
          <w:shd w:val="clear" w:color="auto" w:fill="FFFFFF"/>
        </w:rPr>
      </w:pPr>
      <w:r w:rsidRPr="007076C2">
        <w:rPr>
          <w:rFonts w:ascii="Arial" w:hAnsi="Arial" w:cs="Arial"/>
          <w:b/>
          <w:sz w:val="24"/>
          <w:szCs w:val="24"/>
          <w:shd w:val="clear" w:color="auto" w:fill="FFFFFF"/>
        </w:rPr>
        <w:lastRenderedPageBreak/>
        <w:t>References</w:t>
      </w:r>
    </w:p>
    <w:p w:rsidR="007076C2" w:rsidRPr="007076C2" w:rsidRDefault="007076C2" w:rsidP="007076C2">
      <w:pPr>
        <w:pStyle w:val="ListParagraph"/>
        <w:numPr>
          <w:ilvl w:val="0"/>
          <w:numId w:val="6"/>
        </w:numPr>
        <w:rPr>
          <w:rFonts w:ascii="Arial" w:hAnsi="Arial" w:cs="Arial"/>
          <w:sz w:val="24"/>
          <w:szCs w:val="24"/>
        </w:rPr>
      </w:pPr>
      <w:r w:rsidRPr="007076C2">
        <w:rPr>
          <w:rFonts w:ascii="Arial" w:hAnsi="Arial" w:cs="Arial"/>
          <w:sz w:val="24"/>
          <w:szCs w:val="24"/>
        </w:rPr>
        <w:t xml:space="preserve">Lee E.D., Endoplasmic Reticulum Aminopeptidase 2, a common immunological link to adverse pregnancy outcomes and cancer clearance, In Placenta, Volume 56, 2017, Pages 40-43, </w:t>
      </w:r>
      <w:hyperlink r:id="rId8" w:history="1">
        <w:r w:rsidRPr="007076C2">
          <w:rPr>
            <w:rStyle w:val="Hyperlink"/>
            <w:rFonts w:ascii="Arial" w:hAnsi="Arial" w:cs="Arial"/>
            <w:sz w:val="24"/>
            <w:szCs w:val="24"/>
          </w:rPr>
          <w:t>http://www.sciencedirect.com/science/article/pii/S0143400417301972</w:t>
        </w:r>
      </w:hyperlink>
    </w:p>
    <w:p w:rsidR="007076C2" w:rsidRPr="007076C2" w:rsidRDefault="004A5780" w:rsidP="007076C2">
      <w:pPr>
        <w:pStyle w:val="ListParagraph"/>
        <w:numPr>
          <w:ilvl w:val="0"/>
          <w:numId w:val="6"/>
        </w:numPr>
        <w:rPr>
          <w:rFonts w:ascii="Arial" w:hAnsi="Arial" w:cs="Arial"/>
          <w:sz w:val="24"/>
          <w:szCs w:val="24"/>
        </w:rPr>
      </w:pPr>
      <w:r>
        <w:rPr>
          <w:rFonts w:ascii="Arial" w:hAnsi="Arial" w:cs="Arial"/>
          <w:sz w:val="24"/>
          <w:szCs w:val="24"/>
          <w:shd w:val="clear" w:color="auto" w:fill="FFFFFF"/>
        </w:rPr>
        <w:t>Johnson, M. P. et al</w:t>
      </w:r>
      <w:r w:rsidR="007076C2" w:rsidRPr="007076C2">
        <w:rPr>
          <w:rFonts w:ascii="Arial" w:hAnsi="Arial" w:cs="Arial"/>
          <w:sz w:val="24"/>
          <w:szCs w:val="24"/>
          <w:shd w:val="clear" w:color="auto" w:fill="FFFFFF"/>
        </w:rPr>
        <w:t xml:space="preserve"> (2009). The </w:t>
      </w:r>
      <w:r w:rsidR="007076C2" w:rsidRPr="007076C2">
        <w:rPr>
          <w:rFonts w:ascii="Arial" w:hAnsi="Arial" w:cs="Arial"/>
          <w:i/>
          <w:iCs/>
          <w:sz w:val="24"/>
          <w:szCs w:val="24"/>
          <w:shd w:val="clear" w:color="auto" w:fill="FFFFFF"/>
        </w:rPr>
        <w:t>ERAP2</w:t>
      </w:r>
      <w:r w:rsidR="007076C2" w:rsidRPr="007076C2">
        <w:rPr>
          <w:rFonts w:ascii="Arial" w:hAnsi="Arial" w:cs="Arial"/>
          <w:sz w:val="24"/>
          <w:szCs w:val="24"/>
          <w:shd w:val="clear" w:color="auto" w:fill="FFFFFF"/>
        </w:rPr>
        <w:t> gene is associated with preeclampsia in Australian and Norwegian populations. </w:t>
      </w:r>
      <w:r w:rsidR="007076C2" w:rsidRPr="007076C2">
        <w:rPr>
          <w:rFonts w:ascii="Arial" w:hAnsi="Arial" w:cs="Arial"/>
          <w:i/>
          <w:iCs/>
          <w:sz w:val="24"/>
          <w:szCs w:val="24"/>
          <w:shd w:val="clear" w:color="auto" w:fill="FFFFFF"/>
        </w:rPr>
        <w:t>Human Genetics</w:t>
      </w:r>
      <w:r w:rsidR="007076C2" w:rsidRPr="007076C2">
        <w:rPr>
          <w:rFonts w:ascii="Arial" w:hAnsi="Arial" w:cs="Arial"/>
          <w:sz w:val="24"/>
          <w:szCs w:val="24"/>
          <w:shd w:val="clear" w:color="auto" w:fill="FFFFFF"/>
        </w:rPr>
        <w:t>, </w:t>
      </w:r>
      <w:r w:rsidR="007076C2" w:rsidRPr="007076C2">
        <w:rPr>
          <w:rFonts w:ascii="Arial" w:hAnsi="Arial" w:cs="Arial"/>
          <w:i/>
          <w:iCs/>
          <w:sz w:val="24"/>
          <w:szCs w:val="24"/>
          <w:shd w:val="clear" w:color="auto" w:fill="FFFFFF"/>
        </w:rPr>
        <w:t>126</w:t>
      </w:r>
      <w:r w:rsidR="007076C2" w:rsidRPr="007076C2">
        <w:rPr>
          <w:rFonts w:ascii="Arial" w:hAnsi="Arial" w:cs="Arial"/>
          <w:sz w:val="24"/>
          <w:szCs w:val="24"/>
          <w:shd w:val="clear" w:color="auto" w:fill="FFFFFF"/>
        </w:rPr>
        <w:t xml:space="preserve">(5), 655–666. </w:t>
      </w:r>
      <w:hyperlink r:id="rId9" w:history="1">
        <w:r w:rsidR="007076C2" w:rsidRPr="007076C2">
          <w:rPr>
            <w:rStyle w:val="Hyperlink"/>
            <w:rFonts w:ascii="Arial" w:hAnsi="Arial" w:cs="Arial"/>
            <w:sz w:val="24"/>
            <w:szCs w:val="24"/>
            <w:shd w:val="clear" w:color="auto" w:fill="FFFFFF"/>
          </w:rPr>
          <w:t>https://www.ncbi.nlm.nih.gov/pmc/articles/PMC2783187/</w:t>
        </w:r>
      </w:hyperlink>
    </w:p>
    <w:p w:rsidR="007076C2" w:rsidRPr="007076C2" w:rsidRDefault="004A5780" w:rsidP="007076C2">
      <w:pPr>
        <w:pStyle w:val="ListParagraph"/>
        <w:numPr>
          <w:ilvl w:val="0"/>
          <w:numId w:val="6"/>
        </w:numPr>
        <w:rPr>
          <w:rFonts w:ascii="Arial" w:hAnsi="Arial" w:cs="Arial"/>
          <w:sz w:val="24"/>
          <w:szCs w:val="24"/>
        </w:rPr>
      </w:pPr>
      <w:r>
        <w:rPr>
          <w:rFonts w:ascii="Arial" w:hAnsi="Arial" w:cs="Arial"/>
          <w:sz w:val="24"/>
          <w:szCs w:val="24"/>
        </w:rPr>
        <w:t>Fruci, D. et al</w:t>
      </w:r>
      <w:r w:rsidR="007076C2" w:rsidRPr="007076C2">
        <w:rPr>
          <w:rFonts w:ascii="Arial" w:hAnsi="Arial" w:cs="Arial"/>
          <w:sz w:val="24"/>
          <w:szCs w:val="24"/>
        </w:rPr>
        <w:t xml:space="preserve"> (2006). Expression of Endoplasmic Reticulum Aminopeptidases in EBV-B Cell Lines from Healthy Donors and in Leukemia/Lymphoma, Carcinoma, and Melanoma Cell Lines. Journal of immunology. 176. 4869-79. 10.4049/jimmunol.176.8.4869.</w:t>
      </w:r>
      <w:r w:rsidR="007076C2">
        <w:rPr>
          <w:rFonts w:ascii="Arial" w:hAnsi="Arial" w:cs="Arial"/>
          <w:sz w:val="24"/>
          <w:szCs w:val="24"/>
        </w:rPr>
        <w:t xml:space="preserve"> </w:t>
      </w:r>
      <w:hyperlink r:id="rId10" w:history="1">
        <w:r w:rsidR="007076C2" w:rsidRPr="007076C2">
          <w:rPr>
            <w:rStyle w:val="Hyperlink"/>
            <w:rFonts w:ascii="Arial" w:hAnsi="Arial" w:cs="Arial"/>
            <w:sz w:val="24"/>
            <w:szCs w:val="24"/>
          </w:rPr>
          <w:t>http://www.jimmunol.org/content/176/8/4869.long</w:t>
        </w:r>
      </w:hyperlink>
    </w:p>
    <w:p w:rsidR="007076C2" w:rsidRPr="007076C2" w:rsidRDefault="004A5780" w:rsidP="007076C2">
      <w:pPr>
        <w:pStyle w:val="ListParagraph"/>
        <w:numPr>
          <w:ilvl w:val="0"/>
          <w:numId w:val="6"/>
        </w:numPr>
        <w:rPr>
          <w:rFonts w:ascii="Arial" w:hAnsi="Arial" w:cs="Arial"/>
          <w:sz w:val="24"/>
          <w:szCs w:val="24"/>
        </w:rPr>
      </w:pPr>
      <w:r>
        <w:rPr>
          <w:rFonts w:ascii="Arial" w:hAnsi="Arial" w:cs="Arial"/>
          <w:sz w:val="24"/>
          <w:szCs w:val="24"/>
        </w:rPr>
        <w:t>Alistair J. et al</w:t>
      </w:r>
      <w:r w:rsidR="007076C2" w:rsidRPr="007076C2">
        <w:rPr>
          <w:rFonts w:ascii="Arial" w:hAnsi="Arial" w:cs="Arial"/>
          <w:sz w:val="24"/>
          <w:szCs w:val="24"/>
        </w:rPr>
        <w:t xml:space="preserve">. Westwood, Inhibition of antigen transport by expression of infected cell peptide 47 (ICP47) prevents cell surface expression of HLA in choriocarcinoma cell lines, In Journal of Reproductive Immunology, Volume 50, Issue 1, 2001, Pages 19-40, </w:t>
      </w:r>
      <w:hyperlink r:id="rId11" w:history="1">
        <w:r w:rsidR="007076C2" w:rsidRPr="007076C2">
          <w:rPr>
            <w:rStyle w:val="Hyperlink"/>
            <w:rFonts w:ascii="Arial" w:hAnsi="Arial" w:cs="Arial"/>
            <w:sz w:val="24"/>
            <w:szCs w:val="24"/>
          </w:rPr>
          <w:t>http://www.sciencedirect.com/science/article/pii/S0165037800000887</w:t>
        </w:r>
      </w:hyperlink>
    </w:p>
    <w:p w:rsidR="007076C2" w:rsidRPr="007076C2" w:rsidRDefault="007076C2" w:rsidP="007076C2">
      <w:pPr>
        <w:pStyle w:val="ListParagraph"/>
        <w:numPr>
          <w:ilvl w:val="0"/>
          <w:numId w:val="6"/>
        </w:numPr>
        <w:rPr>
          <w:rFonts w:ascii="Arial" w:hAnsi="Arial" w:cs="Arial"/>
          <w:sz w:val="24"/>
          <w:szCs w:val="24"/>
        </w:rPr>
      </w:pPr>
      <w:r w:rsidRPr="007076C2">
        <w:rPr>
          <w:rFonts w:ascii="Arial" w:hAnsi="Arial" w:cs="Arial"/>
          <w:color w:val="303030"/>
          <w:sz w:val="24"/>
          <w:szCs w:val="24"/>
          <w:shd w:val="clear" w:color="auto" w:fill="FFFFFF"/>
        </w:rPr>
        <w:t>Andrés, Aida M. et al. “Balancing Selection Maintains a Form of </w:t>
      </w:r>
      <w:r w:rsidRPr="007076C2">
        <w:rPr>
          <w:rFonts w:ascii="Arial" w:hAnsi="Arial" w:cs="Arial"/>
          <w:i/>
          <w:iCs/>
          <w:color w:val="303030"/>
          <w:sz w:val="24"/>
          <w:szCs w:val="24"/>
          <w:shd w:val="clear" w:color="auto" w:fill="FFFFFF"/>
        </w:rPr>
        <w:t>ERAP2</w:t>
      </w:r>
      <w:r w:rsidRPr="007076C2">
        <w:rPr>
          <w:rFonts w:ascii="Arial" w:hAnsi="Arial" w:cs="Arial"/>
          <w:color w:val="303030"/>
          <w:sz w:val="24"/>
          <w:szCs w:val="24"/>
          <w:shd w:val="clear" w:color="auto" w:fill="FFFFFF"/>
        </w:rPr>
        <w:t> That Undergoes Nonsense-Mediated Decay and Affects Antigen Presentation.” Ed. Takashi Gojobori. </w:t>
      </w:r>
      <w:r w:rsidRPr="007076C2">
        <w:rPr>
          <w:rFonts w:ascii="Arial" w:hAnsi="Arial" w:cs="Arial"/>
          <w:i/>
          <w:iCs/>
          <w:color w:val="303030"/>
          <w:sz w:val="24"/>
          <w:szCs w:val="24"/>
          <w:shd w:val="clear" w:color="auto" w:fill="FFFFFF"/>
        </w:rPr>
        <w:t>PLoS Genetics</w:t>
      </w:r>
      <w:r w:rsidRPr="007076C2">
        <w:rPr>
          <w:rFonts w:ascii="Arial" w:hAnsi="Arial" w:cs="Arial"/>
          <w:color w:val="303030"/>
          <w:sz w:val="24"/>
          <w:szCs w:val="24"/>
          <w:shd w:val="clear" w:color="auto" w:fill="FFFFFF"/>
        </w:rPr>
        <w:t> 6.10 (2010): e1001157. </w:t>
      </w:r>
      <w:r w:rsidRPr="007076C2">
        <w:rPr>
          <w:rFonts w:ascii="Arial" w:hAnsi="Arial" w:cs="Arial"/>
          <w:i/>
          <w:iCs/>
          <w:color w:val="303030"/>
          <w:sz w:val="24"/>
          <w:szCs w:val="24"/>
          <w:shd w:val="clear" w:color="auto" w:fill="FFFFFF"/>
        </w:rPr>
        <w:t>PMC</w:t>
      </w:r>
      <w:r w:rsidRPr="007076C2">
        <w:rPr>
          <w:rFonts w:ascii="Arial" w:hAnsi="Arial" w:cs="Arial"/>
          <w:color w:val="303030"/>
          <w:sz w:val="24"/>
          <w:szCs w:val="24"/>
          <w:shd w:val="clear" w:color="auto" w:fill="FFFFFF"/>
        </w:rPr>
        <w:t xml:space="preserve">. Web. 26 Nov. 2017. </w:t>
      </w:r>
      <w:hyperlink r:id="rId12" w:history="1">
        <w:r w:rsidRPr="007076C2">
          <w:rPr>
            <w:rStyle w:val="Hyperlink"/>
            <w:rFonts w:ascii="Arial" w:hAnsi="Arial" w:cs="Arial"/>
            <w:sz w:val="24"/>
            <w:szCs w:val="24"/>
            <w:shd w:val="clear" w:color="auto" w:fill="FFFFFF"/>
          </w:rPr>
          <w:t>https://www.ncbi.nlm.nih.gov/pmc/articles/PMC2954825/</w:t>
        </w:r>
      </w:hyperlink>
    </w:p>
    <w:p w:rsidR="007076C2" w:rsidRPr="004A5780" w:rsidRDefault="004A5780" w:rsidP="00F9789C">
      <w:pPr>
        <w:pStyle w:val="ListParagraph"/>
        <w:numPr>
          <w:ilvl w:val="0"/>
          <w:numId w:val="6"/>
        </w:numPr>
        <w:rPr>
          <w:rFonts w:ascii="Arial" w:hAnsi="Arial" w:cs="Arial"/>
          <w:sz w:val="24"/>
          <w:szCs w:val="24"/>
        </w:rPr>
      </w:pPr>
      <w:r>
        <w:rPr>
          <w:rFonts w:ascii="Arial" w:eastAsia="Times New Roman" w:hAnsi="Arial" w:cs="Arial"/>
          <w:color w:val="303030"/>
          <w:sz w:val="24"/>
          <w:szCs w:val="24"/>
        </w:rPr>
        <w:t>Evnouchidou, I.</w:t>
      </w:r>
      <w:r w:rsidR="007076C2" w:rsidRPr="007076C2">
        <w:rPr>
          <w:rFonts w:ascii="Arial" w:eastAsia="Times New Roman" w:hAnsi="Arial" w:cs="Arial"/>
          <w:color w:val="303030"/>
          <w:sz w:val="24"/>
          <w:szCs w:val="24"/>
        </w:rPr>
        <w:t xml:space="preserve"> et al. “A Common SNP in ER Aminopeptidase 2 Induces a Specificity Switch That Leads to Altered Antigen Processing.” </w:t>
      </w:r>
      <w:r w:rsidR="007076C2" w:rsidRPr="007076C2">
        <w:rPr>
          <w:rFonts w:ascii="Arial" w:eastAsia="Times New Roman" w:hAnsi="Arial" w:cs="Arial"/>
          <w:i/>
          <w:iCs/>
          <w:color w:val="303030"/>
          <w:sz w:val="24"/>
          <w:szCs w:val="24"/>
        </w:rPr>
        <w:t>Journal of immunology (Baltimore, Md. : 1950)</w:t>
      </w:r>
      <w:r w:rsidR="007076C2" w:rsidRPr="007076C2">
        <w:rPr>
          <w:rFonts w:ascii="Arial" w:eastAsia="Times New Roman" w:hAnsi="Arial" w:cs="Arial"/>
          <w:color w:val="303030"/>
          <w:sz w:val="24"/>
          <w:szCs w:val="24"/>
        </w:rPr>
        <w:t> 189.5 (2012): 2383–2392. </w:t>
      </w:r>
      <w:r w:rsidR="007076C2" w:rsidRPr="007076C2">
        <w:rPr>
          <w:rFonts w:ascii="Arial" w:eastAsia="Times New Roman" w:hAnsi="Arial" w:cs="Arial"/>
          <w:i/>
          <w:iCs/>
          <w:color w:val="303030"/>
          <w:sz w:val="24"/>
          <w:szCs w:val="24"/>
        </w:rPr>
        <w:t>PMC</w:t>
      </w:r>
      <w:r w:rsidR="007076C2" w:rsidRPr="007076C2">
        <w:rPr>
          <w:rFonts w:ascii="Arial" w:eastAsia="Times New Roman" w:hAnsi="Arial" w:cs="Arial"/>
          <w:color w:val="303030"/>
          <w:sz w:val="24"/>
          <w:szCs w:val="24"/>
        </w:rPr>
        <w:t>. Web. 26 Nov. 2017.</w:t>
      </w:r>
      <w:r w:rsidR="007076C2" w:rsidRPr="007076C2">
        <w:t xml:space="preserve"> </w:t>
      </w:r>
      <w:hyperlink r:id="rId13" w:history="1">
        <w:r w:rsidR="007076C2" w:rsidRPr="00376DDB">
          <w:rPr>
            <w:rStyle w:val="Hyperlink"/>
            <w:rFonts w:ascii="Arial" w:eastAsia="Times New Roman" w:hAnsi="Arial" w:cs="Arial"/>
            <w:sz w:val="24"/>
            <w:szCs w:val="24"/>
          </w:rPr>
          <w:t>https://www.ncbi.nlm.nih.gov/pmc/articles/PMC3530405/</w:t>
        </w:r>
      </w:hyperlink>
      <w:r w:rsidR="007076C2">
        <w:rPr>
          <w:rFonts w:ascii="Arial" w:eastAsia="Times New Roman" w:hAnsi="Arial" w:cs="Arial"/>
          <w:color w:val="303030"/>
          <w:sz w:val="24"/>
          <w:szCs w:val="24"/>
        </w:rPr>
        <w:t xml:space="preserve"> </w:t>
      </w:r>
    </w:p>
    <w:p w:rsidR="004A5780" w:rsidRPr="004A5780" w:rsidRDefault="004A5780" w:rsidP="00F9789C">
      <w:pPr>
        <w:pStyle w:val="ListParagraph"/>
        <w:numPr>
          <w:ilvl w:val="0"/>
          <w:numId w:val="6"/>
        </w:numPr>
        <w:rPr>
          <w:rFonts w:ascii="Arial" w:hAnsi="Arial" w:cs="Arial"/>
          <w:sz w:val="24"/>
          <w:szCs w:val="24"/>
        </w:rPr>
      </w:pPr>
      <w:r>
        <w:rPr>
          <w:rFonts w:ascii="Arial" w:hAnsi="Arial" w:cs="Arial"/>
          <w:sz w:val="24"/>
          <w:szCs w:val="24"/>
          <w:shd w:val="clear" w:color="auto" w:fill="FFFFFF"/>
        </w:rPr>
        <w:t xml:space="preserve">Vanhille, D. L. et al </w:t>
      </w:r>
      <w:r w:rsidRPr="00124981">
        <w:rPr>
          <w:rFonts w:ascii="Arial" w:hAnsi="Arial" w:cs="Arial"/>
          <w:sz w:val="24"/>
          <w:szCs w:val="24"/>
          <w:shd w:val="clear" w:color="auto" w:fill="FFFFFF"/>
        </w:rPr>
        <w:t>(2013). A novel </w:t>
      </w:r>
      <w:r w:rsidRPr="00124981">
        <w:rPr>
          <w:rFonts w:ascii="Arial" w:hAnsi="Arial" w:cs="Arial"/>
          <w:i/>
          <w:iCs/>
          <w:sz w:val="24"/>
          <w:szCs w:val="24"/>
          <w:shd w:val="clear" w:color="auto" w:fill="FFFFFF"/>
        </w:rPr>
        <w:t>ERAP2</w:t>
      </w:r>
      <w:r w:rsidRPr="00124981">
        <w:rPr>
          <w:rFonts w:ascii="Arial" w:hAnsi="Arial" w:cs="Arial"/>
          <w:sz w:val="24"/>
          <w:szCs w:val="24"/>
          <w:shd w:val="clear" w:color="auto" w:fill="FFFFFF"/>
        </w:rPr>
        <w:t> haplotype structure in a Chilean population: implications for ERAP2 protein expression and preeclampsia risk. </w:t>
      </w:r>
      <w:r w:rsidRPr="00124981">
        <w:rPr>
          <w:rFonts w:ascii="Arial" w:hAnsi="Arial" w:cs="Arial"/>
          <w:i/>
          <w:iCs/>
          <w:sz w:val="24"/>
          <w:szCs w:val="24"/>
          <w:shd w:val="clear" w:color="auto" w:fill="FFFFFF"/>
        </w:rPr>
        <w:t>Molecular Genetics &amp; Genomic Medicine</w:t>
      </w:r>
      <w:r w:rsidRPr="00124981">
        <w:rPr>
          <w:rFonts w:ascii="Arial" w:hAnsi="Arial" w:cs="Arial"/>
          <w:sz w:val="24"/>
          <w:szCs w:val="24"/>
          <w:shd w:val="clear" w:color="auto" w:fill="FFFFFF"/>
        </w:rPr>
        <w:t>, </w:t>
      </w:r>
      <w:r w:rsidRPr="00124981">
        <w:rPr>
          <w:rFonts w:ascii="Arial" w:hAnsi="Arial" w:cs="Arial"/>
          <w:i/>
          <w:iCs/>
          <w:sz w:val="24"/>
          <w:szCs w:val="24"/>
          <w:shd w:val="clear" w:color="auto" w:fill="FFFFFF"/>
        </w:rPr>
        <w:t>1</w:t>
      </w:r>
      <w:r>
        <w:rPr>
          <w:rFonts w:ascii="Arial" w:hAnsi="Arial" w:cs="Arial"/>
          <w:sz w:val="24"/>
          <w:szCs w:val="24"/>
          <w:shd w:val="clear" w:color="auto" w:fill="FFFFFF"/>
        </w:rPr>
        <w:t xml:space="preserve">(2), 98–107. </w:t>
      </w:r>
      <w:hyperlink r:id="rId14" w:history="1">
        <w:r w:rsidRPr="00124981">
          <w:rPr>
            <w:rStyle w:val="Hyperlink"/>
            <w:rFonts w:ascii="Arial" w:hAnsi="Arial" w:cs="Arial"/>
            <w:sz w:val="24"/>
            <w:szCs w:val="24"/>
            <w:shd w:val="clear" w:color="auto" w:fill="FFFFFF"/>
          </w:rPr>
          <w:t>https://www.ncbi.nlm.nih.gov/pmc/articles/PMC3769221/</w:t>
        </w:r>
      </w:hyperlink>
    </w:p>
    <w:p w:rsidR="004A5780" w:rsidRDefault="004A5780" w:rsidP="00F9789C">
      <w:pPr>
        <w:pStyle w:val="ListParagraph"/>
        <w:numPr>
          <w:ilvl w:val="0"/>
          <w:numId w:val="6"/>
        </w:numPr>
        <w:rPr>
          <w:rFonts w:ascii="Arial" w:hAnsi="Arial" w:cs="Arial"/>
          <w:sz w:val="24"/>
          <w:szCs w:val="24"/>
        </w:rPr>
      </w:pPr>
      <w:r w:rsidRPr="004A5780">
        <w:rPr>
          <w:rFonts w:ascii="Arial" w:hAnsi="Arial" w:cs="Arial"/>
          <w:sz w:val="24"/>
          <w:szCs w:val="24"/>
        </w:rPr>
        <w:t>Saveanu, L., et al., Concerted peptide trimming by human ERAP1 and ERAP2 aminopeptidase complexes in the endoplasmic reticulum. Nat Immunol, 2005. 6(7): p. 689-97</w:t>
      </w:r>
      <w:r w:rsidR="00AF7262">
        <w:rPr>
          <w:rFonts w:ascii="Arial" w:hAnsi="Arial" w:cs="Arial"/>
          <w:sz w:val="24"/>
          <w:szCs w:val="24"/>
        </w:rPr>
        <w:t>.</w:t>
      </w:r>
      <w:hyperlink r:id="rId15" w:history="1">
        <w:r w:rsidR="00AF7262" w:rsidRPr="00376DDB">
          <w:rPr>
            <w:rStyle w:val="Hyperlink"/>
            <w:rFonts w:ascii="Arial" w:hAnsi="Arial" w:cs="Arial"/>
            <w:sz w:val="24"/>
            <w:szCs w:val="24"/>
          </w:rPr>
          <w:t>https://www.nature.com/articles/ni1208</w:t>
        </w:r>
      </w:hyperlink>
      <w:r w:rsidR="00AF7262">
        <w:rPr>
          <w:rFonts w:ascii="Arial" w:hAnsi="Arial" w:cs="Arial"/>
          <w:sz w:val="24"/>
          <w:szCs w:val="24"/>
        </w:rPr>
        <w:t xml:space="preserve"> </w:t>
      </w:r>
    </w:p>
    <w:p w:rsidR="004A5780" w:rsidRDefault="004A5780" w:rsidP="00F9789C">
      <w:pPr>
        <w:pStyle w:val="ListParagraph"/>
        <w:numPr>
          <w:ilvl w:val="0"/>
          <w:numId w:val="6"/>
        </w:numPr>
        <w:rPr>
          <w:rFonts w:ascii="Arial" w:hAnsi="Arial" w:cs="Arial"/>
          <w:sz w:val="24"/>
          <w:szCs w:val="24"/>
        </w:rPr>
      </w:pPr>
      <w:r w:rsidRPr="004A5780">
        <w:rPr>
          <w:rFonts w:ascii="Arial" w:hAnsi="Arial" w:cs="Arial"/>
          <w:sz w:val="24"/>
          <w:szCs w:val="24"/>
        </w:rPr>
        <w:t>May, L., et al., Performance of the whole-blood stimulation assay for assessing innate immune activation under field conditions. Cytokine, 2009. 45(3): p. 184-9.</w:t>
      </w:r>
      <w:r w:rsidR="00AF7262" w:rsidRPr="00AF7262">
        <w:rPr>
          <w:rFonts w:ascii="Arial" w:hAnsi="Arial" w:cs="Arial"/>
          <w:sz w:val="24"/>
          <w:szCs w:val="24"/>
        </w:rPr>
        <w:t xml:space="preserve"> </w:t>
      </w:r>
      <w:hyperlink r:id="rId16" w:history="1">
        <w:r w:rsidR="00AF7262" w:rsidRPr="00376DDB">
          <w:rPr>
            <w:rStyle w:val="Hyperlink"/>
            <w:rFonts w:ascii="Arial" w:hAnsi="Arial" w:cs="Arial"/>
            <w:sz w:val="24"/>
            <w:szCs w:val="24"/>
          </w:rPr>
          <w:t>http://www.sciencedirect.com/science/article/pii/S1043466608008363?via%3Dihub</w:t>
        </w:r>
      </w:hyperlink>
    </w:p>
    <w:p w:rsidR="00304961" w:rsidRPr="00304961" w:rsidRDefault="00304961" w:rsidP="00304961">
      <w:pPr>
        <w:pStyle w:val="ListParagraph"/>
        <w:numPr>
          <w:ilvl w:val="0"/>
          <w:numId w:val="6"/>
        </w:numPr>
        <w:rPr>
          <w:rFonts w:ascii="Arial" w:hAnsi="Arial" w:cs="Arial"/>
          <w:sz w:val="24"/>
          <w:szCs w:val="24"/>
        </w:rPr>
      </w:pPr>
      <w:r w:rsidRPr="00304961">
        <w:rPr>
          <w:rFonts w:ascii="Arial" w:hAnsi="Arial" w:cs="Arial"/>
          <w:sz w:val="24"/>
          <w:szCs w:val="24"/>
        </w:rPr>
        <w:lastRenderedPageBreak/>
        <w:t>Tanioka, T., et al., Human leukocyte-derived arginine aminopeptidase. The third member of the oxytocinase subfamily of aminopeptidases. J Biol Chem, 2003. 278(34): p. 32275-83. 13.</w:t>
      </w:r>
      <w:r>
        <w:rPr>
          <w:rFonts w:ascii="Arial" w:hAnsi="Arial" w:cs="Arial"/>
          <w:sz w:val="24"/>
          <w:szCs w:val="24"/>
        </w:rPr>
        <w:t xml:space="preserve"> </w:t>
      </w:r>
      <w:hyperlink r:id="rId17" w:history="1">
        <w:r w:rsidRPr="00376DDB">
          <w:rPr>
            <w:rStyle w:val="Hyperlink"/>
            <w:rFonts w:ascii="Arial" w:hAnsi="Arial" w:cs="Arial"/>
            <w:sz w:val="24"/>
            <w:szCs w:val="24"/>
          </w:rPr>
          <w:t>http://www.jbc.org/content/278/34/32275.long</w:t>
        </w:r>
      </w:hyperlink>
      <w:r>
        <w:rPr>
          <w:rFonts w:ascii="Arial" w:hAnsi="Arial" w:cs="Arial"/>
          <w:sz w:val="24"/>
          <w:szCs w:val="24"/>
        </w:rPr>
        <w:t xml:space="preserve"> </w:t>
      </w:r>
    </w:p>
    <w:p w:rsidR="00304961" w:rsidRDefault="00304961" w:rsidP="00304961">
      <w:pPr>
        <w:pStyle w:val="ListParagraph"/>
        <w:ind w:left="1080"/>
        <w:rPr>
          <w:rFonts w:ascii="Arial" w:hAnsi="Arial" w:cs="Arial"/>
          <w:sz w:val="24"/>
          <w:szCs w:val="24"/>
        </w:rPr>
      </w:pPr>
    </w:p>
    <w:p w:rsidR="00AF7262" w:rsidRPr="00AF7262" w:rsidRDefault="00AF7262" w:rsidP="00AF7262">
      <w:pPr>
        <w:ind w:left="720"/>
        <w:rPr>
          <w:rFonts w:ascii="Arial" w:hAnsi="Arial" w:cs="Arial"/>
          <w:sz w:val="24"/>
          <w:szCs w:val="24"/>
        </w:rPr>
      </w:pPr>
    </w:p>
    <w:p w:rsidR="00B11FA0" w:rsidRPr="00F9789C" w:rsidRDefault="00B11FA0" w:rsidP="00F9789C">
      <w:pPr>
        <w:rPr>
          <w:rFonts w:ascii="Times New Roman" w:hAnsi="Times New Roman" w:cs="Times New Roman"/>
          <w:sz w:val="24"/>
          <w:szCs w:val="24"/>
        </w:rPr>
      </w:pPr>
    </w:p>
    <w:p w:rsidR="00967A6B" w:rsidRPr="00725288" w:rsidRDefault="00AB4B88" w:rsidP="00725288">
      <w:pPr>
        <w:pStyle w:val="ListParagraph"/>
        <w:rPr>
          <w:rFonts w:ascii="Times New Roman" w:hAnsi="Times New Roman" w:cs="Times New Roman"/>
          <w:sz w:val="24"/>
          <w:szCs w:val="24"/>
        </w:rPr>
      </w:pPr>
      <w:r w:rsidRPr="00725288">
        <w:rPr>
          <w:rFonts w:ascii="Times New Roman" w:hAnsi="Times New Roman" w:cs="Times New Roman"/>
          <w:sz w:val="24"/>
          <w:szCs w:val="24"/>
        </w:rPr>
        <w:t xml:space="preserve">  </w:t>
      </w:r>
      <w:r w:rsidR="00B35E46" w:rsidRPr="00725288">
        <w:rPr>
          <w:rFonts w:ascii="Times New Roman" w:hAnsi="Times New Roman" w:cs="Times New Roman"/>
          <w:sz w:val="24"/>
          <w:szCs w:val="24"/>
        </w:rPr>
        <w:t xml:space="preserve"> </w:t>
      </w:r>
    </w:p>
    <w:sectPr w:rsidR="00967A6B" w:rsidRPr="00725288" w:rsidSect="00D10A6E">
      <w:head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763" w:rsidRDefault="00931763" w:rsidP="00217984">
      <w:pPr>
        <w:spacing w:after="0" w:line="240" w:lineRule="auto"/>
      </w:pPr>
      <w:r>
        <w:separator/>
      </w:r>
    </w:p>
  </w:endnote>
  <w:endnote w:type="continuationSeparator" w:id="1">
    <w:p w:rsidR="00931763" w:rsidRDefault="00931763" w:rsidP="00217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763" w:rsidRDefault="00931763" w:rsidP="00217984">
      <w:pPr>
        <w:spacing w:after="0" w:line="240" w:lineRule="auto"/>
      </w:pPr>
      <w:r>
        <w:separator/>
      </w:r>
    </w:p>
  </w:footnote>
  <w:footnote w:type="continuationSeparator" w:id="1">
    <w:p w:rsidR="00931763" w:rsidRDefault="00931763" w:rsidP="002179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84" w:rsidRPr="00217984" w:rsidRDefault="00217984" w:rsidP="00217984">
    <w:pPr>
      <w:pStyle w:val="Header"/>
      <w:rPr>
        <w:rFonts w:ascii="Arial" w:hAnsi="Arial" w:cs="Arial"/>
        <w:b/>
        <w:sz w:val="24"/>
        <w:szCs w:val="24"/>
      </w:rPr>
    </w:pPr>
    <w:r w:rsidRPr="00217984">
      <w:rPr>
        <w:rFonts w:ascii="Arial" w:hAnsi="Arial" w:cs="Arial"/>
        <w:b/>
        <w:sz w:val="24"/>
        <w:szCs w:val="24"/>
      </w:rPr>
      <w:t>Immune response when ERAP2-N is introduced to Melanoma cell line MRN-1</w:t>
    </w:r>
  </w:p>
  <w:p w:rsidR="00217984" w:rsidRDefault="002179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0F7C"/>
    <w:multiLevelType w:val="hybridMultilevel"/>
    <w:tmpl w:val="7718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F35B6"/>
    <w:multiLevelType w:val="hybridMultilevel"/>
    <w:tmpl w:val="0B446FE0"/>
    <w:lvl w:ilvl="0" w:tplc="71264018">
      <w:start w:val="1"/>
      <w:numFmt w:val="decimal"/>
      <w:lvlText w:val="%1."/>
      <w:lvlJc w:val="left"/>
      <w:pPr>
        <w:ind w:left="1080" w:hanging="360"/>
      </w:pPr>
      <w:rPr>
        <w:rFonts w:ascii="Arial" w:eastAsiaTheme="minorHAns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A64E00"/>
    <w:multiLevelType w:val="hybridMultilevel"/>
    <w:tmpl w:val="A1269E0A"/>
    <w:lvl w:ilvl="0" w:tplc="F5B6D9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7502B3"/>
    <w:multiLevelType w:val="hybridMultilevel"/>
    <w:tmpl w:val="0B924658"/>
    <w:lvl w:ilvl="0" w:tplc="04626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FC7018"/>
    <w:multiLevelType w:val="hybridMultilevel"/>
    <w:tmpl w:val="E4D8E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2C5A34"/>
    <w:multiLevelType w:val="hybridMultilevel"/>
    <w:tmpl w:val="053AE922"/>
    <w:lvl w:ilvl="0" w:tplc="0CF0D9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17984"/>
    <w:rsid w:val="00007D31"/>
    <w:rsid w:val="00010D8D"/>
    <w:rsid w:val="00013A30"/>
    <w:rsid w:val="00021192"/>
    <w:rsid w:val="00034F9A"/>
    <w:rsid w:val="00036718"/>
    <w:rsid w:val="00043A04"/>
    <w:rsid w:val="00046BCC"/>
    <w:rsid w:val="000612CC"/>
    <w:rsid w:val="000612D4"/>
    <w:rsid w:val="00064B91"/>
    <w:rsid w:val="000657ED"/>
    <w:rsid w:val="0006723C"/>
    <w:rsid w:val="00067E8A"/>
    <w:rsid w:val="00070641"/>
    <w:rsid w:val="00081F03"/>
    <w:rsid w:val="00082215"/>
    <w:rsid w:val="00084F1C"/>
    <w:rsid w:val="00091BDE"/>
    <w:rsid w:val="00094985"/>
    <w:rsid w:val="000A37AA"/>
    <w:rsid w:val="000B0DA7"/>
    <w:rsid w:val="000B3199"/>
    <w:rsid w:val="000B6DB4"/>
    <w:rsid w:val="000C1CC6"/>
    <w:rsid w:val="000C5A16"/>
    <w:rsid w:val="000C7DEA"/>
    <w:rsid w:val="000D17BF"/>
    <w:rsid w:val="000D1F1B"/>
    <w:rsid w:val="000D24A9"/>
    <w:rsid w:val="000D4505"/>
    <w:rsid w:val="000E3B11"/>
    <w:rsid w:val="001101F2"/>
    <w:rsid w:val="001235AA"/>
    <w:rsid w:val="00141478"/>
    <w:rsid w:val="00167895"/>
    <w:rsid w:val="00171153"/>
    <w:rsid w:val="001760DA"/>
    <w:rsid w:val="001778EF"/>
    <w:rsid w:val="00186A8A"/>
    <w:rsid w:val="00187DE7"/>
    <w:rsid w:val="0019070A"/>
    <w:rsid w:val="00194383"/>
    <w:rsid w:val="0019605B"/>
    <w:rsid w:val="00196373"/>
    <w:rsid w:val="001B2794"/>
    <w:rsid w:val="001B7FF8"/>
    <w:rsid w:val="001C380F"/>
    <w:rsid w:val="001C3ABB"/>
    <w:rsid w:val="001C7A08"/>
    <w:rsid w:val="001D04BB"/>
    <w:rsid w:val="001D1859"/>
    <w:rsid w:val="001D626B"/>
    <w:rsid w:val="001E4EBF"/>
    <w:rsid w:val="001E721B"/>
    <w:rsid w:val="001E7DCA"/>
    <w:rsid w:val="001F112D"/>
    <w:rsid w:val="001F270A"/>
    <w:rsid w:val="001F62E2"/>
    <w:rsid w:val="00202C86"/>
    <w:rsid w:val="002118E2"/>
    <w:rsid w:val="0021553A"/>
    <w:rsid w:val="00217984"/>
    <w:rsid w:val="0022002C"/>
    <w:rsid w:val="002208EE"/>
    <w:rsid w:val="00221F29"/>
    <w:rsid w:val="00247E51"/>
    <w:rsid w:val="0025627C"/>
    <w:rsid w:val="002574A9"/>
    <w:rsid w:val="00263EEC"/>
    <w:rsid w:val="00270404"/>
    <w:rsid w:val="002736B5"/>
    <w:rsid w:val="002766E7"/>
    <w:rsid w:val="002922B5"/>
    <w:rsid w:val="0029254C"/>
    <w:rsid w:val="00296E92"/>
    <w:rsid w:val="002A33B0"/>
    <w:rsid w:val="002B2153"/>
    <w:rsid w:val="002C1E9B"/>
    <w:rsid w:val="002C4D0A"/>
    <w:rsid w:val="002C67E6"/>
    <w:rsid w:val="002E3E7E"/>
    <w:rsid w:val="002F003D"/>
    <w:rsid w:val="00300CCB"/>
    <w:rsid w:val="003035EF"/>
    <w:rsid w:val="00304961"/>
    <w:rsid w:val="00320F9B"/>
    <w:rsid w:val="00323801"/>
    <w:rsid w:val="0032531C"/>
    <w:rsid w:val="00335874"/>
    <w:rsid w:val="00337535"/>
    <w:rsid w:val="00343E0F"/>
    <w:rsid w:val="003457B4"/>
    <w:rsid w:val="00357335"/>
    <w:rsid w:val="003702D3"/>
    <w:rsid w:val="00374181"/>
    <w:rsid w:val="00385A06"/>
    <w:rsid w:val="003945B8"/>
    <w:rsid w:val="003970A3"/>
    <w:rsid w:val="003A162F"/>
    <w:rsid w:val="003A2410"/>
    <w:rsid w:val="003A6645"/>
    <w:rsid w:val="003B1651"/>
    <w:rsid w:val="003B1BDD"/>
    <w:rsid w:val="003B56BA"/>
    <w:rsid w:val="003B646F"/>
    <w:rsid w:val="003B7BDE"/>
    <w:rsid w:val="003C1922"/>
    <w:rsid w:val="003F6493"/>
    <w:rsid w:val="003F6CB0"/>
    <w:rsid w:val="00401D86"/>
    <w:rsid w:val="00420BBA"/>
    <w:rsid w:val="00445814"/>
    <w:rsid w:val="00457210"/>
    <w:rsid w:val="00483921"/>
    <w:rsid w:val="004901C9"/>
    <w:rsid w:val="0049394D"/>
    <w:rsid w:val="00495454"/>
    <w:rsid w:val="004958A1"/>
    <w:rsid w:val="00495D1B"/>
    <w:rsid w:val="00495EC0"/>
    <w:rsid w:val="00495F23"/>
    <w:rsid w:val="00496287"/>
    <w:rsid w:val="004A5780"/>
    <w:rsid w:val="004B423F"/>
    <w:rsid w:val="004C628C"/>
    <w:rsid w:val="004C7050"/>
    <w:rsid w:val="004D321A"/>
    <w:rsid w:val="004D6016"/>
    <w:rsid w:val="004F1712"/>
    <w:rsid w:val="004F4378"/>
    <w:rsid w:val="004F5207"/>
    <w:rsid w:val="005055A5"/>
    <w:rsid w:val="00520E8B"/>
    <w:rsid w:val="0052268A"/>
    <w:rsid w:val="00523F89"/>
    <w:rsid w:val="005313AF"/>
    <w:rsid w:val="005407BB"/>
    <w:rsid w:val="005421A6"/>
    <w:rsid w:val="0055010C"/>
    <w:rsid w:val="005513B4"/>
    <w:rsid w:val="00553C84"/>
    <w:rsid w:val="00560122"/>
    <w:rsid w:val="0056093F"/>
    <w:rsid w:val="005615B8"/>
    <w:rsid w:val="005640CF"/>
    <w:rsid w:val="00574472"/>
    <w:rsid w:val="00597486"/>
    <w:rsid w:val="005A2C22"/>
    <w:rsid w:val="005A5990"/>
    <w:rsid w:val="005A66D1"/>
    <w:rsid w:val="005B0556"/>
    <w:rsid w:val="005C2309"/>
    <w:rsid w:val="005C6500"/>
    <w:rsid w:val="005D73DF"/>
    <w:rsid w:val="005F0B30"/>
    <w:rsid w:val="005F17A6"/>
    <w:rsid w:val="005F23D7"/>
    <w:rsid w:val="00607F48"/>
    <w:rsid w:val="00612D6D"/>
    <w:rsid w:val="00616CD4"/>
    <w:rsid w:val="00617439"/>
    <w:rsid w:val="00621437"/>
    <w:rsid w:val="00621FD7"/>
    <w:rsid w:val="00622806"/>
    <w:rsid w:val="006246FF"/>
    <w:rsid w:val="0062526F"/>
    <w:rsid w:val="00625B9D"/>
    <w:rsid w:val="00650DA6"/>
    <w:rsid w:val="00651827"/>
    <w:rsid w:val="00654D9A"/>
    <w:rsid w:val="00656E65"/>
    <w:rsid w:val="006605F6"/>
    <w:rsid w:val="00661679"/>
    <w:rsid w:val="00664DD8"/>
    <w:rsid w:val="006738F7"/>
    <w:rsid w:val="00674815"/>
    <w:rsid w:val="00676624"/>
    <w:rsid w:val="00680CE1"/>
    <w:rsid w:val="00681BA1"/>
    <w:rsid w:val="00682F8D"/>
    <w:rsid w:val="006861B3"/>
    <w:rsid w:val="0069579A"/>
    <w:rsid w:val="006A1390"/>
    <w:rsid w:val="006A1F00"/>
    <w:rsid w:val="006B352F"/>
    <w:rsid w:val="006B722C"/>
    <w:rsid w:val="006C472D"/>
    <w:rsid w:val="006C4783"/>
    <w:rsid w:val="006C5E5F"/>
    <w:rsid w:val="006D6FAD"/>
    <w:rsid w:val="006E0CA2"/>
    <w:rsid w:val="006E409E"/>
    <w:rsid w:val="006E6D18"/>
    <w:rsid w:val="006F2669"/>
    <w:rsid w:val="006F7CE3"/>
    <w:rsid w:val="00702E4C"/>
    <w:rsid w:val="007076C2"/>
    <w:rsid w:val="00725288"/>
    <w:rsid w:val="0072655A"/>
    <w:rsid w:val="00726649"/>
    <w:rsid w:val="007328FA"/>
    <w:rsid w:val="00735D45"/>
    <w:rsid w:val="00746A29"/>
    <w:rsid w:val="00746A90"/>
    <w:rsid w:val="00751F75"/>
    <w:rsid w:val="00767F85"/>
    <w:rsid w:val="007824D7"/>
    <w:rsid w:val="00785E58"/>
    <w:rsid w:val="0079062A"/>
    <w:rsid w:val="00791DE2"/>
    <w:rsid w:val="00792051"/>
    <w:rsid w:val="00792FD3"/>
    <w:rsid w:val="007957CD"/>
    <w:rsid w:val="007A67C9"/>
    <w:rsid w:val="007B22AF"/>
    <w:rsid w:val="007E525F"/>
    <w:rsid w:val="007F63A1"/>
    <w:rsid w:val="00806CE9"/>
    <w:rsid w:val="008075F0"/>
    <w:rsid w:val="008104FA"/>
    <w:rsid w:val="00823077"/>
    <w:rsid w:val="00823B5A"/>
    <w:rsid w:val="00826F38"/>
    <w:rsid w:val="00827DE1"/>
    <w:rsid w:val="00832395"/>
    <w:rsid w:val="008362DE"/>
    <w:rsid w:val="00842796"/>
    <w:rsid w:val="00847B0A"/>
    <w:rsid w:val="008507C9"/>
    <w:rsid w:val="0085368B"/>
    <w:rsid w:val="00860681"/>
    <w:rsid w:val="00861E07"/>
    <w:rsid w:val="008641D9"/>
    <w:rsid w:val="00867B20"/>
    <w:rsid w:val="0087253B"/>
    <w:rsid w:val="008725C0"/>
    <w:rsid w:val="00875E21"/>
    <w:rsid w:val="0088450C"/>
    <w:rsid w:val="00886FA5"/>
    <w:rsid w:val="008964BA"/>
    <w:rsid w:val="008A7D74"/>
    <w:rsid w:val="008B04E9"/>
    <w:rsid w:val="008B12C1"/>
    <w:rsid w:val="008B3FFE"/>
    <w:rsid w:val="008B6FAC"/>
    <w:rsid w:val="008C0B4D"/>
    <w:rsid w:val="008C2FB9"/>
    <w:rsid w:val="008C4671"/>
    <w:rsid w:val="008C746D"/>
    <w:rsid w:val="008D0257"/>
    <w:rsid w:val="008D33D9"/>
    <w:rsid w:val="008D3DC3"/>
    <w:rsid w:val="008D7413"/>
    <w:rsid w:val="008E39E3"/>
    <w:rsid w:val="008E5B1E"/>
    <w:rsid w:val="008E71B7"/>
    <w:rsid w:val="008F0EE5"/>
    <w:rsid w:val="008F4B8F"/>
    <w:rsid w:val="008F6188"/>
    <w:rsid w:val="009032EA"/>
    <w:rsid w:val="00905D89"/>
    <w:rsid w:val="00914BB0"/>
    <w:rsid w:val="00917DED"/>
    <w:rsid w:val="00920DA4"/>
    <w:rsid w:val="00922E9F"/>
    <w:rsid w:val="00931763"/>
    <w:rsid w:val="0093278A"/>
    <w:rsid w:val="00950037"/>
    <w:rsid w:val="0095352F"/>
    <w:rsid w:val="0095789C"/>
    <w:rsid w:val="00963681"/>
    <w:rsid w:val="00964C5F"/>
    <w:rsid w:val="00966B40"/>
    <w:rsid w:val="00967A6B"/>
    <w:rsid w:val="00973EAB"/>
    <w:rsid w:val="00980E98"/>
    <w:rsid w:val="00983642"/>
    <w:rsid w:val="009864B4"/>
    <w:rsid w:val="00993742"/>
    <w:rsid w:val="009958C9"/>
    <w:rsid w:val="009969D8"/>
    <w:rsid w:val="009A6EF7"/>
    <w:rsid w:val="009B0C76"/>
    <w:rsid w:val="009B35BF"/>
    <w:rsid w:val="009B441C"/>
    <w:rsid w:val="009B5DCE"/>
    <w:rsid w:val="009B7056"/>
    <w:rsid w:val="009B7A72"/>
    <w:rsid w:val="009B7DF0"/>
    <w:rsid w:val="009C099B"/>
    <w:rsid w:val="009C3AC2"/>
    <w:rsid w:val="009D6A91"/>
    <w:rsid w:val="009D7E53"/>
    <w:rsid w:val="009E3B8C"/>
    <w:rsid w:val="009F03CF"/>
    <w:rsid w:val="009F6AFA"/>
    <w:rsid w:val="00A066C9"/>
    <w:rsid w:val="00A1378A"/>
    <w:rsid w:val="00A13837"/>
    <w:rsid w:val="00A20809"/>
    <w:rsid w:val="00A20C29"/>
    <w:rsid w:val="00A23EDD"/>
    <w:rsid w:val="00A27666"/>
    <w:rsid w:val="00A32719"/>
    <w:rsid w:val="00A33328"/>
    <w:rsid w:val="00A34B6E"/>
    <w:rsid w:val="00A35B5B"/>
    <w:rsid w:val="00A71531"/>
    <w:rsid w:val="00A817E5"/>
    <w:rsid w:val="00A83FEC"/>
    <w:rsid w:val="00A85144"/>
    <w:rsid w:val="00AA0263"/>
    <w:rsid w:val="00AA0F60"/>
    <w:rsid w:val="00AA143B"/>
    <w:rsid w:val="00AA16FC"/>
    <w:rsid w:val="00AA63EA"/>
    <w:rsid w:val="00AB4B88"/>
    <w:rsid w:val="00AB7821"/>
    <w:rsid w:val="00AC45E9"/>
    <w:rsid w:val="00AD515B"/>
    <w:rsid w:val="00AD6AC5"/>
    <w:rsid w:val="00AE30F6"/>
    <w:rsid w:val="00AE33F9"/>
    <w:rsid w:val="00AE6184"/>
    <w:rsid w:val="00AE73A5"/>
    <w:rsid w:val="00AF33EC"/>
    <w:rsid w:val="00AF5F65"/>
    <w:rsid w:val="00AF641F"/>
    <w:rsid w:val="00AF650D"/>
    <w:rsid w:val="00AF7262"/>
    <w:rsid w:val="00AF7FD4"/>
    <w:rsid w:val="00B04C22"/>
    <w:rsid w:val="00B054E5"/>
    <w:rsid w:val="00B100D6"/>
    <w:rsid w:val="00B11AD5"/>
    <w:rsid w:val="00B11F8D"/>
    <w:rsid w:val="00B11FA0"/>
    <w:rsid w:val="00B137E1"/>
    <w:rsid w:val="00B203E1"/>
    <w:rsid w:val="00B227B8"/>
    <w:rsid w:val="00B261FA"/>
    <w:rsid w:val="00B2734F"/>
    <w:rsid w:val="00B30978"/>
    <w:rsid w:val="00B35E46"/>
    <w:rsid w:val="00B6169E"/>
    <w:rsid w:val="00B64638"/>
    <w:rsid w:val="00BA34D8"/>
    <w:rsid w:val="00BA57DF"/>
    <w:rsid w:val="00BA7F7B"/>
    <w:rsid w:val="00BB002B"/>
    <w:rsid w:val="00BB20EB"/>
    <w:rsid w:val="00BB2620"/>
    <w:rsid w:val="00BD5092"/>
    <w:rsid w:val="00BF3200"/>
    <w:rsid w:val="00C017BA"/>
    <w:rsid w:val="00C01A12"/>
    <w:rsid w:val="00C031DC"/>
    <w:rsid w:val="00C06923"/>
    <w:rsid w:val="00C0758C"/>
    <w:rsid w:val="00C13301"/>
    <w:rsid w:val="00C251B8"/>
    <w:rsid w:val="00C32917"/>
    <w:rsid w:val="00C36EBD"/>
    <w:rsid w:val="00C40289"/>
    <w:rsid w:val="00C44680"/>
    <w:rsid w:val="00C5150F"/>
    <w:rsid w:val="00C51EBB"/>
    <w:rsid w:val="00C54B2D"/>
    <w:rsid w:val="00C56473"/>
    <w:rsid w:val="00C62682"/>
    <w:rsid w:val="00C64CC8"/>
    <w:rsid w:val="00C64DF9"/>
    <w:rsid w:val="00C74B44"/>
    <w:rsid w:val="00C839E6"/>
    <w:rsid w:val="00C844CB"/>
    <w:rsid w:val="00C84DA7"/>
    <w:rsid w:val="00C859F1"/>
    <w:rsid w:val="00C86DD4"/>
    <w:rsid w:val="00CA43B7"/>
    <w:rsid w:val="00CA79FC"/>
    <w:rsid w:val="00CA7E3B"/>
    <w:rsid w:val="00CB1161"/>
    <w:rsid w:val="00CB506F"/>
    <w:rsid w:val="00CC56A7"/>
    <w:rsid w:val="00CD6063"/>
    <w:rsid w:val="00CE75B7"/>
    <w:rsid w:val="00D01B88"/>
    <w:rsid w:val="00D0358A"/>
    <w:rsid w:val="00D04A70"/>
    <w:rsid w:val="00D10A6E"/>
    <w:rsid w:val="00D17772"/>
    <w:rsid w:val="00D204E9"/>
    <w:rsid w:val="00D21D98"/>
    <w:rsid w:val="00D35EEE"/>
    <w:rsid w:val="00D36E02"/>
    <w:rsid w:val="00D4038F"/>
    <w:rsid w:val="00D42F1F"/>
    <w:rsid w:val="00D45E18"/>
    <w:rsid w:val="00D51135"/>
    <w:rsid w:val="00D61FCC"/>
    <w:rsid w:val="00D62550"/>
    <w:rsid w:val="00D65D42"/>
    <w:rsid w:val="00D735D0"/>
    <w:rsid w:val="00D76661"/>
    <w:rsid w:val="00D94D0A"/>
    <w:rsid w:val="00DA6BE5"/>
    <w:rsid w:val="00DB0327"/>
    <w:rsid w:val="00DB04D9"/>
    <w:rsid w:val="00DB14EA"/>
    <w:rsid w:val="00DB3B11"/>
    <w:rsid w:val="00DB3C6C"/>
    <w:rsid w:val="00DB45F3"/>
    <w:rsid w:val="00DB46E7"/>
    <w:rsid w:val="00DC02AC"/>
    <w:rsid w:val="00DC76E7"/>
    <w:rsid w:val="00DE25E3"/>
    <w:rsid w:val="00DE5258"/>
    <w:rsid w:val="00DE759E"/>
    <w:rsid w:val="00DF1E7E"/>
    <w:rsid w:val="00DF2396"/>
    <w:rsid w:val="00DF2DA5"/>
    <w:rsid w:val="00DF671D"/>
    <w:rsid w:val="00E00532"/>
    <w:rsid w:val="00E04029"/>
    <w:rsid w:val="00E06727"/>
    <w:rsid w:val="00E10129"/>
    <w:rsid w:val="00E2099D"/>
    <w:rsid w:val="00E22862"/>
    <w:rsid w:val="00E30420"/>
    <w:rsid w:val="00E337E6"/>
    <w:rsid w:val="00E37787"/>
    <w:rsid w:val="00E439ED"/>
    <w:rsid w:val="00E5087D"/>
    <w:rsid w:val="00E614CC"/>
    <w:rsid w:val="00E77264"/>
    <w:rsid w:val="00E829E3"/>
    <w:rsid w:val="00E85F1B"/>
    <w:rsid w:val="00E95480"/>
    <w:rsid w:val="00E96202"/>
    <w:rsid w:val="00EA0E93"/>
    <w:rsid w:val="00EA22EA"/>
    <w:rsid w:val="00EA6A72"/>
    <w:rsid w:val="00EA746C"/>
    <w:rsid w:val="00EB0963"/>
    <w:rsid w:val="00EB6872"/>
    <w:rsid w:val="00EC25D6"/>
    <w:rsid w:val="00EC3361"/>
    <w:rsid w:val="00EC59EE"/>
    <w:rsid w:val="00ED0057"/>
    <w:rsid w:val="00ED037E"/>
    <w:rsid w:val="00EE209D"/>
    <w:rsid w:val="00EE4576"/>
    <w:rsid w:val="00EF0E48"/>
    <w:rsid w:val="00EF7A68"/>
    <w:rsid w:val="00F017F5"/>
    <w:rsid w:val="00F17327"/>
    <w:rsid w:val="00F2024F"/>
    <w:rsid w:val="00F32279"/>
    <w:rsid w:val="00F3457B"/>
    <w:rsid w:val="00F35BBE"/>
    <w:rsid w:val="00F4247C"/>
    <w:rsid w:val="00F45461"/>
    <w:rsid w:val="00F56B7D"/>
    <w:rsid w:val="00F63F16"/>
    <w:rsid w:val="00F77F81"/>
    <w:rsid w:val="00F90A7A"/>
    <w:rsid w:val="00F94A2F"/>
    <w:rsid w:val="00F9789C"/>
    <w:rsid w:val="00FA1213"/>
    <w:rsid w:val="00FA1228"/>
    <w:rsid w:val="00FA39BD"/>
    <w:rsid w:val="00FA3F99"/>
    <w:rsid w:val="00FA4D85"/>
    <w:rsid w:val="00FA5B48"/>
    <w:rsid w:val="00FA5F04"/>
    <w:rsid w:val="00FA6AF2"/>
    <w:rsid w:val="00FC77E9"/>
    <w:rsid w:val="00FD048C"/>
    <w:rsid w:val="00FE4543"/>
    <w:rsid w:val="00FE726C"/>
    <w:rsid w:val="00FF3E7E"/>
    <w:rsid w:val="00FF5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79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7984"/>
  </w:style>
  <w:style w:type="paragraph" w:styleId="Footer">
    <w:name w:val="footer"/>
    <w:basedOn w:val="Normal"/>
    <w:link w:val="FooterChar"/>
    <w:uiPriority w:val="99"/>
    <w:semiHidden/>
    <w:unhideWhenUsed/>
    <w:rsid w:val="002179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7984"/>
  </w:style>
  <w:style w:type="paragraph" w:styleId="ListParagraph">
    <w:name w:val="List Paragraph"/>
    <w:basedOn w:val="Normal"/>
    <w:uiPriority w:val="34"/>
    <w:qFormat/>
    <w:rsid w:val="00217984"/>
    <w:pPr>
      <w:ind w:left="720"/>
      <w:contextualSpacing/>
    </w:pPr>
  </w:style>
  <w:style w:type="paragraph" w:styleId="BalloonText">
    <w:name w:val="Balloon Text"/>
    <w:basedOn w:val="Normal"/>
    <w:link w:val="BalloonTextChar"/>
    <w:uiPriority w:val="99"/>
    <w:semiHidden/>
    <w:unhideWhenUsed/>
    <w:rsid w:val="00374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181"/>
    <w:rPr>
      <w:rFonts w:ascii="Tahoma" w:hAnsi="Tahoma" w:cs="Tahoma"/>
      <w:sz w:val="16"/>
      <w:szCs w:val="16"/>
    </w:rPr>
  </w:style>
  <w:style w:type="character" w:styleId="Hyperlink">
    <w:name w:val="Hyperlink"/>
    <w:basedOn w:val="DefaultParagraphFont"/>
    <w:uiPriority w:val="99"/>
    <w:unhideWhenUsed/>
    <w:rsid w:val="007076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143400417301972" TargetMode="External"/><Relationship Id="rId13" Type="http://schemas.openxmlformats.org/officeDocument/2006/relationships/hyperlink" Target="https://www.ncbi.nlm.nih.gov/pmc/articles/PMC3530405/"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cbi.nlm.nih.gov/pmc/articles/PMC2954825/" TargetMode="External"/><Relationship Id="rId17" Type="http://schemas.openxmlformats.org/officeDocument/2006/relationships/hyperlink" Target="http://www.jbc.org/content/278/34/32275.long" TargetMode="External"/><Relationship Id="rId2" Type="http://schemas.openxmlformats.org/officeDocument/2006/relationships/styles" Target="styles.xml"/><Relationship Id="rId16" Type="http://schemas.openxmlformats.org/officeDocument/2006/relationships/hyperlink" Target="http://www.sciencedirect.com/science/article/pii/S1043466608008363?via%3Dihu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science/article/pii/S0165037800000887" TargetMode="External"/><Relationship Id="rId5" Type="http://schemas.openxmlformats.org/officeDocument/2006/relationships/footnotes" Target="footnotes.xml"/><Relationship Id="rId15" Type="http://schemas.openxmlformats.org/officeDocument/2006/relationships/hyperlink" Target="https://www.nature.com/articles/ni1208" TargetMode="External"/><Relationship Id="rId10" Type="http://schemas.openxmlformats.org/officeDocument/2006/relationships/hyperlink" Target="http://www.jimmunol.org/content/176/8/4869.lo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mc/articles/PMC2783187/" TargetMode="External"/><Relationship Id="rId14" Type="http://schemas.openxmlformats.org/officeDocument/2006/relationships/hyperlink" Target="https://www.ncbi.nlm.nih.gov/pmc/articles/PMC3769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1451</TotalTime>
  <Pages>5</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sandarora@hotmail.com</dc:creator>
  <cp:lastModifiedBy>sandarora@hotmail.com</cp:lastModifiedBy>
  <cp:revision>16</cp:revision>
  <dcterms:created xsi:type="dcterms:W3CDTF">2017-11-24T21:17:00Z</dcterms:created>
  <dcterms:modified xsi:type="dcterms:W3CDTF">2017-11-26T13:35:00Z</dcterms:modified>
</cp:coreProperties>
</file>